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78" w:rsidRPr="003A18B8" w:rsidRDefault="006C5078" w:rsidP="006C5078">
      <w:pPr>
        <w:pStyle w:val="a4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6C5078" w:rsidRPr="003A18B8" w:rsidRDefault="006C5078" w:rsidP="006C507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19</w:t>
      </w:r>
      <w:r w:rsidRPr="003A18B8">
        <w:rPr>
          <w:color w:val="000000"/>
          <w:sz w:val="28"/>
          <w:szCs w:val="28"/>
        </w:rPr>
        <w:t xml:space="preserve"> марта 2021 г.</w:t>
      </w:r>
    </w:p>
    <w:p w:rsidR="006C5078" w:rsidRPr="003A18B8" w:rsidRDefault="006C5078" w:rsidP="006C5078">
      <w:pPr>
        <w:pStyle w:val="a4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6C5078" w:rsidRPr="003A18B8" w:rsidRDefault="006C5078" w:rsidP="006C507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Практическое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№ 10.5</w:t>
      </w:r>
    </w:p>
    <w:p w:rsidR="006C5078" w:rsidRPr="003A18B8" w:rsidRDefault="006C5078" w:rsidP="006C507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3A1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>Разработка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, магнитный,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 xml:space="preserve">капиллярный,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</w:rPr>
        <w:t>)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3A18B8">
        <w:rPr>
          <w:rFonts w:ascii="Times New Roman" w:hAnsi="Times New Roman" w:cs="Times New Roman"/>
          <w:sz w:val="28"/>
          <w:szCs w:val="28"/>
        </w:rPr>
        <w:t>: научить разработке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, магнитный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 xml:space="preserve">капиллярный,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).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6C5078" w:rsidRPr="003A18B8" w:rsidRDefault="006C5078" w:rsidP="006C5078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 xml:space="preserve">1. </w:t>
      </w:r>
      <w:r w:rsidRPr="00231487">
        <w:rPr>
          <w:rFonts w:ascii="Times New Roman" w:hAnsi="Times New Roman" w:cs="Times New Roman"/>
          <w:sz w:val="28"/>
          <w:szCs w:val="28"/>
        </w:rPr>
        <w:t>Опишите требования техники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охраны труда</w:t>
      </w:r>
      <w:r w:rsidRPr="00231487">
        <w:rPr>
          <w:rFonts w:ascii="Times New Roman" w:hAnsi="Times New Roman" w:cs="Times New Roman"/>
          <w:sz w:val="28"/>
          <w:szCs w:val="28"/>
        </w:rPr>
        <w:t xml:space="preserve"> при  методе контроля  </w:t>
      </w:r>
      <w:proofErr w:type="spellStart"/>
      <w:r w:rsidRPr="00231487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231487">
        <w:rPr>
          <w:rFonts w:ascii="Times New Roman" w:hAnsi="Times New Roman" w:cs="Times New Roman"/>
          <w:sz w:val="28"/>
          <w:szCs w:val="28"/>
        </w:rPr>
        <w:t xml:space="preserve"> сварных соединений.</w:t>
      </w:r>
    </w:p>
    <w:p w:rsidR="006C5078" w:rsidRPr="003A18B8" w:rsidRDefault="006C5078" w:rsidP="006C5078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A18B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078" w:rsidRPr="003A18B8" w:rsidRDefault="006C5078" w:rsidP="006C50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1.   </w:t>
      </w:r>
      <w:r>
        <w:rPr>
          <w:rFonts w:ascii="Times New Roman" w:hAnsi="Times New Roman" w:cs="Times New Roman"/>
          <w:sz w:val="28"/>
          <w:szCs w:val="28"/>
        </w:rPr>
        <w:t xml:space="preserve">Перечислите специфические опасности при контроле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6C5078" w:rsidRPr="003A18B8" w:rsidRDefault="006C5078" w:rsidP="006C50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2.   </w:t>
      </w:r>
      <w:r w:rsidRPr="0090216A">
        <w:rPr>
          <w:rFonts w:ascii="Times New Roman" w:hAnsi="Times New Roman" w:cs="Times New Roman"/>
          <w:sz w:val="28"/>
          <w:szCs w:val="28"/>
        </w:rPr>
        <w:t>Периодичность осмотров, проверок, ремонтов</w:t>
      </w:r>
      <w:r w:rsidRPr="003A18B8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6C5078" w:rsidRPr="003A18B8" w:rsidRDefault="006C5078" w:rsidP="006C507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3.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Кто должен</w:t>
      </w:r>
      <w:r w:rsidRPr="0090216A">
        <w:rPr>
          <w:rFonts w:ascii="Times New Roman" w:hAnsi="Times New Roman" w:cs="Times New Roman"/>
          <w:sz w:val="28"/>
          <w:szCs w:val="28"/>
        </w:rPr>
        <w:t xml:space="preserve"> производить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216A">
        <w:rPr>
          <w:rFonts w:ascii="Times New Roman" w:hAnsi="Times New Roman" w:cs="Times New Roman"/>
          <w:sz w:val="28"/>
          <w:szCs w:val="28"/>
        </w:rPr>
        <w:t>роверку</w:t>
      </w:r>
      <w:r w:rsidRPr="003A18B8">
        <w:rPr>
          <w:rFonts w:ascii="Times New Roman" w:eastAsia="TimesNewRomanPS-BoldMT" w:hAnsi="Times New Roman" w:cs="Times New Roman"/>
          <w:i/>
          <w:sz w:val="28"/>
          <w:szCs w:val="28"/>
        </w:rPr>
        <w:t>?</w:t>
      </w:r>
    </w:p>
    <w:p w:rsidR="006C5078" w:rsidRPr="003A18B8" w:rsidRDefault="006C5078" w:rsidP="006C5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078" w:rsidRPr="003A18B8" w:rsidRDefault="006C5078" w:rsidP="006C507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8B8">
        <w:rPr>
          <w:b/>
          <w:sz w:val="28"/>
          <w:szCs w:val="28"/>
        </w:rPr>
        <w:t>Домашнее задание:</w:t>
      </w:r>
    </w:p>
    <w:p w:rsidR="006C5078" w:rsidRPr="003A18B8" w:rsidRDefault="006C5078" w:rsidP="006C507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6C5078" w:rsidRPr="003A18B8" w:rsidRDefault="006C5078" w:rsidP="006C50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6C5078" w:rsidRPr="003A18B8" w:rsidRDefault="006C5078" w:rsidP="006C50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6C5078" w:rsidRPr="00827C68" w:rsidRDefault="006C5078" w:rsidP="006C5078">
      <w:pPr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4" w:history="1">
        <w:r w:rsidRPr="00827C6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6C5078" w:rsidRPr="003A18B8" w:rsidRDefault="006C5078" w:rsidP="006C5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078" w:rsidRDefault="006C5078" w:rsidP="006C5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078" w:rsidRDefault="006C5078" w:rsidP="006C5078">
      <w:pPr>
        <w:rPr>
          <w:rFonts w:ascii="Times New Roman" w:hAnsi="Times New Roman" w:cs="Times New Roman"/>
        </w:rPr>
      </w:pPr>
    </w:p>
    <w:p w:rsidR="006C5078" w:rsidRPr="00231487" w:rsidRDefault="006C5078" w:rsidP="006C5078">
      <w:pPr>
        <w:pStyle w:val="2"/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bCs w:val="0"/>
          <w:color w:val="444444"/>
          <w:sz w:val="24"/>
          <w:szCs w:val="24"/>
        </w:rPr>
      </w:pPr>
      <w:r w:rsidRPr="00231487">
        <w:rPr>
          <w:rFonts w:ascii="Times New Roman" w:hAnsi="Times New Roman" w:cs="Times New Roman"/>
          <w:bCs w:val="0"/>
          <w:color w:val="444444"/>
          <w:sz w:val="24"/>
          <w:szCs w:val="24"/>
        </w:rPr>
        <w:lastRenderedPageBreak/>
        <w:t>ОХРАНА ТРУДА И ТЕХНИКА БЕЗОПАСНОСТИ ПРИ НЕРАЗРУШАЮЩЕМ КОНТРОЛЕ</w:t>
      </w:r>
    </w:p>
    <w:p w:rsidR="006C5078" w:rsidRPr="00231487" w:rsidRDefault="006C5078" w:rsidP="006C5078">
      <w:pPr>
        <w:pStyle w:val="a4"/>
        <w:shd w:val="clear" w:color="auto" w:fill="FFFFFF"/>
        <w:spacing w:before="225" w:beforeAutospacing="0" w:after="225" w:afterAutospacing="0"/>
        <w:jc w:val="both"/>
        <w:rPr>
          <w:color w:val="444444"/>
          <w:sz w:val="28"/>
          <w:szCs w:val="28"/>
        </w:rPr>
      </w:pPr>
      <w:r w:rsidRPr="00231487">
        <w:rPr>
          <w:color w:val="444444"/>
          <w:sz w:val="28"/>
          <w:szCs w:val="28"/>
        </w:rPr>
        <w:br/>
        <w:t>Охрана труда — это система законодательных, социально-экономических, организационных, технических, гигиенических и лечебно-профилактических мероприятий и средств, обеспечивающих безопасность, сохранение здоровья, и работоспособности человека в процессе труда.</w:t>
      </w:r>
      <w:r w:rsidRPr="00231487">
        <w:rPr>
          <w:color w:val="444444"/>
          <w:sz w:val="28"/>
          <w:szCs w:val="28"/>
        </w:rPr>
        <w:br/>
        <w:t xml:space="preserve">Правила техники безопасности содержат обязательные требования, которым должны удовлетворять предприятия в целом, производственные помещения, все виды оборудования и технологические процессы с точки зрения безопасности труда. Важнейшие из этих правил регламентированы </w:t>
      </w:r>
      <w:proofErr w:type="spellStart"/>
      <w:r w:rsidRPr="00231487">
        <w:rPr>
          <w:color w:val="444444"/>
          <w:sz w:val="28"/>
          <w:szCs w:val="28"/>
        </w:rPr>
        <w:t>ГОСТами</w:t>
      </w:r>
      <w:proofErr w:type="spellEnd"/>
      <w:r w:rsidRPr="00231487">
        <w:rPr>
          <w:color w:val="444444"/>
          <w:sz w:val="28"/>
          <w:szCs w:val="28"/>
        </w:rPr>
        <w:t xml:space="preserve"> группы «Система стандартов безопасности труда» (ССБТ).</w:t>
      </w:r>
      <w:r w:rsidRPr="00231487">
        <w:rPr>
          <w:color w:val="444444"/>
          <w:sz w:val="28"/>
          <w:szCs w:val="28"/>
        </w:rPr>
        <w:br/>
        <w:t>Опасные и вредные производственные факторы по природе действия на организм человека подразделяют на физические (движущиеся машины и оборудование, повышенная или пониженная температура, давление, степень освещенности, электрические токи, вредные излучения, шум, вибрации и т.д.), химические, биологические (микр</w:t>
      </w:r>
      <w:proofErr w:type="gramStart"/>
      <w:r w:rsidRPr="00231487">
        <w:rPr>
          <w:color w:val="444444"/>
          <w:sz w:val="28"/>
          <w:szCs w:val="28"/>
        </w:rPr>
        <w:t>о-</w:t>
      </w:r>
      <w:proofErr w:type="gramEnd"/>
      <w:r w:rsidRPr="00231487">
        <w:rPr>
          <w:color w:val="444444"/>
          <w:sz w:val="28"/>
          <w:szCs w:val="28"/>
        </w:rPr>
        <w:t xml:space="preserve"> и </w:t>
      </w:r>
      <w:proofErr w:type="spellStart"/>
      <w:r w:rsidRPr="00231487">
        <w:rPr>
          <w:color w:val="444444"/>
          <w:sz w:val="28"/>
          <w:szCs w:val="28"/>
        </w:rPr>
        <w:t>макроорганизмы</w:t>
      </w:r>
      <w:proofErr w:type="spellEnd"/>
      <w:r w:rsidRPr="00231487">
        <w:rPr>
          <w:color w:val="444444"/>
          <w:sz w:val="28"/>
          <w:szCs w:val="28"/>
        </w:rPr>
        <w:t>), психофизические.</w:t>
      </w:r>
      <w:r w:rsidRPr="00231487">
        <w:rPr>
          <w:color w:val="444444"/>
          <w:sz w:val="28"/>
          <w:szCs w:val="28"/>
        </w:rPr>
        <w:br/>
        <w:t>Непосредственно ответственными за соблюдение требований ТБ являются руководители службы контроля и лица, выполняющие контроль. Служба ТБ осуществляет периодическую проверку знаний в области ТБ, соблюдение требований ТБ при контроле особо опасными методами.</w:t>
      </w:r>
    </w:p>
    <w:p w:rsidR="006C5078" w:rsidRPr="00231487" w:rsidRDefault="006C5078" w:rsidP="006C5078">
      <w:pPr>
        <w:pStyle w:val="a4"/>
        <w:shd w:val="clear" w:color="auto" w:fill="FFFFFF"/>
        <w:spacing w:before="225" w:beforeAutospacing="0" w:after="225" w:afterAutospacing="0"/>
        <w:jc w:val="both"/>
        <w:rPr>
          <w:color w:val="444444"/>
          <w:sz w:val="28"/>
          <w:szCs w:val="28"/>
        </w:rPr>
      </w:pPr>
      <w:r w:rsidRPr="00231487">
        <w:rPr>
          <w:color w:val="444444"/>
          <w:sz w:val="28"/>
          <w:szCs w:val="28"/>
        </w:rPr>
        <w:t> </w:t>
      </w:r>
      <w:proofErr w:type="spellStart"/>
      <w:r w:rsidRPr="00231487">
        <w:rPr>
          <w:color w:val="444444"/>
          <w:sz w:val="28"/>
          <w:szCs w:val="28"/>
        </w:rPr>
        <w:t>Электробезопасность</w:t>
      </w:r>
      <w:proofErr w:type="spellEnd"/>
      <w:r w:rsidRPr="00231487">
        <w:rPr>
          <w:color w:val="444444"/>
          <w:sz w:val="28"/>
          <w:szCs w:val="28"/>
        </w:rPr>
        <w:t xml:space="preserve">. Электропитание имеют практически все средства НК, отсюда возникает требование обеспечения </w:t>
      </w:r>
      <w:proofErr w:type="spellStart"/>
      <w:r w:rsidRPr="00231487">
        <w:rPr>
          <w:color w:val="444444"/>
          <w:sz w:val="28"/>
          <w:szCs w:val="28"/>
        </w:rPr>
        <w:t>электробезопасности</w:t>
      </w:r>
      <w:proofErr w:type="spellEnd"/>
      <w:r w:rsidRPr="00231487">
        <w:rPr>
          <w:color w:val="444444"/>
          <w:sz w:val="28"/>
          <w:szCs w:val="28"/>
        </w:rPr>
        <w:t xml:space="preserve">. В большинстве средств НК </w:t>
      </w:r>
      <w:proofErr w:type="gramStart"/>
      <w:r w:rsidRPr="00231487">
        <w:rPr>
          <w:color w:val="444444"/>
          <w:sz w:val="28"/>
          <w:szCs w:val="28"/>
        </w:rPr>
        <w:t>напряжение не достигает</w:t>
      </w:r>
      <w:proofErr w:type="gramEnd"/>
      <w:r w:rsidRPr="00231487">
        <w:rPr>
          <w:color w:val="444444"/>
          <w:sz w:val="28"/>
          <w:szCs w:val="28"/>
        </w:rPr>
        <w:t xml:space="preserve"> 1 кВ — уровня, после которого требования ТБ резко повышаются (</w:t>
      </w:r>
      <w:proofErr w:type="spellStart"/>
      <w:r w:rsidRPr="00231487">
        <w:rPr>
          <w:color w:val="444444"/>
          <w:sz w:val="28"/>
          <w:szCs w:val="28"/>
        </w:rPr>
        <w:t>ГОСТы</w:t>
      </w:r>
      <w:proofErr w:type="spellEnd"/>
      <w:r w:rsidRPr="00231487">
        <w:rPr>
          <w:color w:val="444444"/>
          <w:sz w:val="28"/>
          <w:szCs w:val="28"/>
        </w:rPr>
        <w:t xml:space="preserve"> 12.1.038 - 82; 12.1.013 - 78 и др.). Исключение составляют некоторые приборы электрического и рентгеновского контроля, в которых напряжение может достигать 1 MB.</w:t>
      </w:r>
      <w:r w:rsidRPr="00231487">
        <w:rPr>
          <w:color w:val="444444"/>
          <w:sz w:val="28"/>
          <w:szCs w:val="28"/>
        </w:rPr>
        <w:br/>
        <w:t xml:space="preserve">Действие электрического тока на организм человека проявляется в виде электрических травм и электрического удара. Травмы вызывают частичные поражения организма: ожог, потемнение или </w:t>
      </w:r>
      <w:proofErr w:type="spellStart"/>
      <w:r w:rsidRPr="00231487">
        <w:rPr>
          <w:color w:val="444444"/>
          <w:sz w:val="28"/>
          <w:szCs w:val="28"/>
        </w:rPr>
        <w:t>электрометаллизацию</w:t>
      </w:r>
      <w:proofErr w:type="spellEnd"/>
      <w:r w:rsidRPr="00231487">
        <w:rPr>
          <w:color w:val="444444"/>
          <w:sz w:val="28"/>
          <w:szCs w:val="28"/>
        </w:rPr>
        <w:t xml:space="preserve"> кожи, воспаление глаз под действием светового потока от электрической дуги. Электрический удар возникает при замыкании электрической цепи через тело человека и приводит к поражению всего организма. Сильнее всего действует ток на нервную систему, органы дыхания и сердце. Он приводит к фибрилляции сердца — беспорядочным сокращениям сердечной мышцы.</w:t>
      </w:r>
      <w:r w:rsidRPr="00231487">
        <w:rPr>
          <w:color w:val="444444"/>
          <w:sz w:val="28"/>
          <w:szCs w:val="28"/>
        </w:rPr>
        <w:br/>
        <w:t xml:space="preserve">Для защиты от поражения электрическим током токоведущие части оборудования изолируют, ограждают, размещают внутри шкафов и кожухов; металлические части заземляют или </w:t>
      </w:r>
      <w:proofErr w:type="spellStart"/>
      <w:r w:rsidRPr="00231487">
        <w:rPr>
          <w:color w:val="444444"/>
          <w:sz w:val="28"/>
          <w:szCs w:val="28"/>
        </w:rPr>
        <w:t>зануляют</w:t>
      </w:r>
      <w:proofErr w:type="spellEnd"/>
      <w:r w:rsidRPr="00231487">
        <w:rPr>
          <w:color w:val="444444"/>
          <w:sz w:val="28"/>
          <w:szCs w:val="28"/>
        </w:rPr>
        <w:t>; предусматривают устройства защитного отключения; по возможности снижают напряжение.</w:t>
      </w:r>
      <w:r w:rsidRPr="00231487">
        <w:rPr>
          <w:color w:val="444444"/>
          <w:sz w:val="28"/>
          <w:szCs w:val="28"/>
        </w:rPr>
        <w:br/>
        <w:t>Защита от вредных веществ. Вредными являются вещества, которые при контакте с организмом человека могут вызвать производственные травмы, профессиональные заболевания или отклонения в состоянии здоровья.</w:t>
      </w:r>
      <w:r w:rsidRPr="00231487">
        <w:rPr>
          <w:color w:val="444444"/>
          <w:sz w:val="28"/>
          <w:szCs w:val="28"/>
        </w:rPr>
        <w:br/>
        <w:t>Способы предотвращения опасного действия вредных веще</w:t>
      </w:r>
      <w:proofErr w:type="gramStart"/>
      <w:r w:rsidRPr="00231487">
        <w:rPr>
          <w:color w:val="444444"/>
          <w:sz w:val="28"/>
          <w:szCs w:val="28"/>
        </w:rPr>
        <w:t>ств св</w:t>
      </w:r>
      <w:proofErr w:type="gramEnd"/>
      <w:r w:rsidRPr="00231487">
        <w:rPr>
          <w:color w:val="444444"/>
          <w:sz w:val="28"/>
          <w:szCs w:val="28"/>
        </w:rPr>
        <w:t xml:space="preserve">одятся к </w:t>
      </w:r>
      <w:r w:rsidRPr="00231487">
        <w:rPr>
          <w:color w:val="444444"/>
          <w:sz w:val="28"/>
          <w:szCs w:val="28"/>
        </w:rPr>
        <w:lastRenderedPageBreak/>
        <w:t>герметизации их при хранении, хорошей вентиляции производственных помещений, использовании средств индивидуальной защиты: респираторов, резиновых перчаток.</w:t>
      </w:r>
      <w:r w:rsidRPr="00231487">
        <w:rPr>
          <w:color w:val="444444"/>
          <w:sz w:val="28"/>
          <w:szCs w:val="28"/>
        </w:rPr>
        <w:br/>
        <w:t xml:space="preserve">Производственное освещение относится к вопросам гигиены труда. Оно должно обеспечивать минимальную утомляемость </w:t>
      </w:r>
      <w:proofErr w:type="gramStart"/>
      <w:r w:rsidRPr="00231487">
        <w:rPr>
          <w:color w:val="444444"/>
          <w:sz w:val="28"/>
          <w:szCs w:val="28"/>
        </w:rPr>
        <w:t>работающего</w:t>
      </w:r>
      <w:proofErr w:type="gramEnd"/>
      <w:r w:rsidRPr="00231487">
        <w:rPr>
          <w:color w:val="444444"/>
          <w:sz w:val="28"/>
          <w:szCs w:val="28"/>
        </w:rPr>
        <w:t xml:space="preserve">. Следует иметь в виду, что чрезмерно яркий свет вызывает слепящее действие. Различают естественное (через оконные проемы, фонари в кровле) и искусственное освещение, а для последнего — общее и местное. Часто применяют комбинированное, т.е. общее и местное, освещение. При отсутствии комбинированного освещения заменяющее его общее освещение может быть в 2...3 раза меньше, поскольку к прямому освещению добавляется свет, рассеянный от стен и потолка. При оценке условий освещенности учитывают уровень освещенности (общей и комбинированной), спектральный состав света (он должен </w:t>
      </w:r>
      <w:proofErr w:type="gramStart"/>
      <w:r w:rsidRPr="00231487">
        <w:rPr>
          <w:color w:val="444444"/>
          <w:sz w:val="28"/>
          <w:szCs w:val="28"/>
        </w:rPr>
        <w:t>быть</w:t>
      </w:r>
      <w:proofErr w:type="gramEnd"/>
      <w:r w:rsidRPr="00231487">
        <w:rPr>
          <w:color w:val="444444"/>
          <w:sz w:val="28"/>
          <w:szCs w:val="28"/>
        </w:rPr>
        <w:t xml:space="preserve"> возможно ближе к солнечному), равномерность освещения, его устойчивость во времени, отсутствие </w:t>
      </w:r>
      <w:proofErr w:type="spellStart"/>
      <w:r w:rsidRPr="00231487">
        <w:rPr>
          <w:color w:val="444444"/>
          <w:sz w:val="28"/>
          <w:szCs w:val="28"/>
        </w:rPr>
        <w:t>блесткости</w:t>
      </w:r>
      <w:proofErr w:type="spellEnd"/>
      <w:r w:rsidRPr="00231487">
        <w:rPr>
          <w:color w:val="444444"/>
          <w:sz w:val="28"/>
          <w:szCs w:val="28"/>
        </w:rPr>
        <w:t xml:space="preserve"> как самих источников света, так и освещаемых предметов.</w:t>
      </w:r>
      <w:r w:rsidRPr="00231487">
        <w:rPr>
          <w:color w:val="444444"/>
          <w:sz w:val="28"/>
          <w:szCs w:val="28"/>
        </w:rPr>
        <w:br/>
        <w:t>Степень освещенности определяются в люксах (лк), 1 лк соответствует равномерному распределению светового потока в 1 лм на 1 м</w:t>
      </w:r>
      <w:proofErr w:type="gramStart"/>
      <w:r w:rsidRPr="00231487">
        <w:rPr>
          <w:color w:val="444444"/>
          <w:sz w:val="28"/>
          <w:szCs w:val="28"/>
        </w:rPr>
        <w:t>2</w:t>
      </w:r>
      <w:proofErr w:type="gramEnd"/>
      <w:r w:rsidRPr="00231487">
        <w:rPr>
          <w:color w:val="444444"/>
          <w:sz w:val="28"/>
          <w:szCs w:val="28"/>
        </w:rPr>
        <w:t xml:space="preserve">. Равномерность освещения определяют, в частности, отношением местного и общего освещения. Как правило, общая освещенность не должна быть меньше 10% комбинированной освещенности на рабочем месте (во избежание частой перемены адаптации зрения). Устойчивость освещения во времени определяют коэффициентом пульсации, характеризующим изменение </w:t>
      </w:r>
      <w:proofErr w:type="spellStart"/>
      <w:r w:rsidRPr="00231487">
        <w:rPr>
          <w:color w:val="444444"/>
          <w:sz w:val="28"/>
          <w:szCs w:val="28"/>
        </w:rPr>
        <w:t>свевтового</w:t>
      </w:r>
      <w:proofErr w:type="spellEnd"/>
      <w:r w:rsidRPr="00231487">
        <w:rPr>
          <w:color w:val="444444"/>
          <w:sz w:val="28"/>
          <w:szCs w:val="28"/>
        </w:rPr>
        <w:t xml:space="preserve"> потока к его среднему значению.</w:t>
      </w:r>
    </w:p>
    <w:p w:rsidR="00950DAB" w:rsidRDefault="006C5078" w:rsidP="006C5078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Источники искусственного света — это лампы накаливания и газоразрядные лампы. Лампы, расположенные в осветительной арматуре, называют светильником. Лампы накаливания удобны в эксплуатации, обладают малым коэффициентом пульсации (1...7%), но в спектре у них преобладает желто-красное излучение (по сравнению с солнечным), низка светоотдача (не более 20 лм/Вт), мал срок службы (не более 1000 ч). Газоразрядные лампы имеют спектр излучения, близкий к </w:t>
      </w:r>
      <w:proofErr w:type="gram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естественному</w:t>
      </w:r>
      <w:proofErr w:type="gramEnd"/>
      <w:r w:rsidRPr="00231487">
        <w:rPr>
          <w:rFonts w:ascii="Times New Roman" w:hAnsi="Times New Roman" w:cs="Times New Roman"/>
          <w:color w:val="444444"/>
          <w:sz w:val="28"/>
          <w:szCs w:val="28"/>
        </w:rPr>
        <w:t>, светоотдача их в 5 раз больше, а срок службы в 10 раз больше, чем у ламп накаливания. Однако у них высок коэффициент пульсации (25...65%), поэтому освещенность этими лампами требуется выше, чем лампами накаливания.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Работы, связанные со зрительным восприятием объектов труда (зрительные работы), подразделяют на восемь разрядов (СНИП-4-79). Вводят также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подразряды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. Основной показатель для такого подразделения — размеры объекта, которые необходимо различать. Работы наивысшей точности, когда размеры объекта менее 0,15 мм при малом контрасте объекта на темном фоне, должны освещаться по разряду 1,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подразряду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> </w:t>
      </w:r>
      <w:r w:rsidRPr="00231487">
        <w:rPr>
          <w:rStyle w:val="a6"/>
          <w:rFonts w:ascii="Times New Roman" w:hAnsi="Times New Roman" w:cs="Times New Roman"/>
          <w:color w:val="DD0055"/>
          <w:sz w:val="28"/>
          <w:szCs w:val="28"/>
        </w:rPr>
        <w:t>а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: газоразрядными лампами при комбинированном освещении 5000 лк, при общем — 1500 лк, 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lastRenderedPageBreak/>
        <w:t xml:space="preserve">лампами накаливания соответственно 4500 и 300 лк. В неразрушающем контроле условия освещенности </w:t>
      </w:r>
      <w:proofErr w:type="gram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 этому</w:t>
      </w:r>
      <w:proofErr w:type="gram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подразряду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нужны только при поиске дефектов на поверхности ОК. визуальным методом.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При дефектоскопии цветным методом (гл. 9) для обеспечения первого класса чувствительности требуется освещенность по разряду 1,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подразряду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> </w:t>
      </w:r>
      <w:proofErr w:type="gramStart"/>
      <w:r w:rsidRPr="00231487">
        <w:rPr>
          <w:rStyle w:val="a6"/>
          <w:rFonts w:ascii="Times New Roman" w:hAnsi="Times New Roman" w:cs="Times New Roman"/>
          <w:color w:val="DD0055"/>
          <w:sz w:val="28"/>
          <w:szCs w:val="28"/>
        </w:rPr>
        <w:t>в</w:t>
      </w:r>
      <w:proofErr w:type="gram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, а </w:t>
      </w:r>
      <w:proofErr w:type="gram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для</w:t>
      </w:r>
      <w:proofErr w:type="gram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обеспечения четвертого класса — по разряду 3,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подразряду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в. Для большинства других видов НК достаточна освещенность по разряду 5: общая освещенность 100...200 лк, комбинированная — 200...300 лк. В случаях, когда основную информацию о результатах контроля получают путем наблюдения за экраном осциллоскопа, целесообразно уменьшать общую освещенность до 50...75 лк или применять локал</w:t>
      </w:r>
      <w:r>
        <w:rPr>
          <w:color w:val="444444"/>
          <w:sz w:val="28"/>
          <w:szCs w:val="28"/>
        </w:rPr>
        <w:t xml:space="preserve">ьную защиту экрана от подсветки 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t>чрезмерным освещением.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>Утомляемость персонала при контроле имеет значение как с точки зрения гигиены труда, так и с точки зрения притупления внимания к обнаружению дефектов. Утомляемость проявляется к концу смены и при работе в ночные часы. С учетом последнего проведение ответственных операций контроля в ночные часы не допускается.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Охрана окружающей среды. Из средств НК определенным действием на окружающую среду обладают отходы некоторых дефектоскопических материалов при контроле методами проникающих веществ и повышенная радиация от некоторых источников проникающего излучения. Средства защиты от </w:t>
      </w:r>
      <w:proofErr w:type="gram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последних</w:t>
      </w:r>
      <w:proofErr w:type="gram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изложены в кн. 4 данной серии. Для уменьшения вредного действия некоторых веществ на основе керосина, скипидара (при их значительных количествах) их собирают и регенерируют или сжигают в условиях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пожаробезопасности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>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Следует отметить опасное действие фреонов (гл. 10) на озоновый слой атмосферы (способствуют образованию «озоновых дыр»). По этой причине осуществляют планомерную замену фреона как пробного газа для </w:t>
      </w:r>
      <w:proofErr w:type="spellStart"/>
      <w:r w:rsidRPr="00231487">
        <w:rPr>
          <w:rFonts w:ascii="Times New Roman" w:hAnsi="Times New Roman" w:cs="Times New Roman"/>
          <w:color w:val="444444"/>
          <w:sz w:val="28"/>
          <w:szCs w:val="28"/>
        </w:rPr>
        <w:t>течеискания</w:t>
      </w:r>
      <w:proofErr w:type="spellEnd"/>
      <w:r w:rsidRPr="00231487">
        <w:rPr>
          <w:rFonts w:ascii="Times New Roman" w:hAnsi="Times New Roman" w:cs="Times New Roman"/>
          <w:color w:val="444444"/>
          <w:sz w:val="28"/>
          <w:szCs w:val="28"/>
        </w:rPr>
        <w:t xml:space="preserve"> или наполнителя аэрозольных баллонов на другие полностью безвредные вещества.</w:t>
      </w:r>
      <w:r w:rsidRPr="00231487">
        <w:rPr>
          <w:rFonts w:ascii="Times New Roman" w:hAnsi="Times New Roman" w:cs="Times New Roman"/>
          <w:color w:val="444444"/>
          <w:sz w:val="28"/>
          <w:szCs w:val="28"/>
        </w:rPr>
        <w:br/>
        <w:t>Применение методов НК позволяет предотвратить аварии химического, газового, энергетического оборудования, последствия которых для окружающей среды могут быть крайне опасными. С этой точки зрения методы НК следует рассматривать как улучшающие экологическую обстановку</w:t>
      </w:r>
    </w:p>
    <w:p w:rsidR="00827C68" w:rsidRDefault="00827C68" w:rsidP="006C5078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827C68" w:rsidRDefault="00827C68" w:rsidP="006C5078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827C68" w:rsidRPr="00F23F80" w:rsidRDefault="00827C68" w:rsidP="00827C68">
      <w:pPr>
        <w:pStyle w:val="a4"/>
        <w:jc w:val="both"/>
        <w:rPr>
          <w:color w:val="000000"/>
          <w:sz w:val="28"/>
          <w:szCs w:val="28"/>
        </w:rPr>
      </w:pPr>
      <w:r w:rsidRPr="00F23F80"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827C68" w:rsidRPr="00F23F80" w:rsidRDefault="00827C68" w:rsidP="00827C68">
      <w:pPr>
        <w:pStyle w:val="a4"/>
        <w:jc w:val="both"/>
        <w:rPr>
          <w:color w:val="000000"/>
          <w:sz w:val="28"/>
          <w:szCs w:val="28"/>
        </w:rPr>
      </w:pPr>
      <w:r w:rsidRPr="00F23F80">
        <w:rPr>
          <w:color w:val="000000"/>
          <w:sz w:val="28"/>
          <w:szCs w:val="28"/>
        </w:rPr>
        <w:t>Дата: 19 марта 2021 г.</w:t>
      </w:r>
    </w:p>
    <w:p w:rsidR="00827C68" w:rsidRPr="00F23F80" w:rsidRDefault="00827C68" w:rsidP="00827C68">
      <w:pPr>
        <w:pStyle w:val="a4"/>
        <w:jc w:val="both"/>
        <w:rPr>
          <w:color w:val="000000"/>
          <w:sz w:val="28"/>
          <w:szCs w:val="28"/>
        </w:rPr>
      </w:pPr>
      <w:r w:rsidRPr="00F23F80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827C68" w:rsidRPr="00F23F80" w:rsidRDefault="00827C68" w:rsidP="00827C6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F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11.1</w:t>
      </w:r>
    </w:p>
    <w:p w:rsidR="00827C68" w:rsidRPr="00F23F80" w:rsidRDefault="00827C68" w:rsidP="00827C6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F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F23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3F80">
        <w:rPr>
          <w:rFonts w:ascii="Times New Roman" w:eastAsia="Times New Roman" w:hAnsi="Times New Roman" w:cs="Times New Roman"/>
          <w:bCs/>
          <w:sz w:val="28"/>
          <w:szCs w:val="28"/>
        </w:rPr>
        <w:t>Определение оценки свариваемости металла.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F23F80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F23F80">
        <w:rPr>
          <w:rFonts w:ascii="Times New Roman" w:eastAsia="Times New Roman" w:hAnsi="Times New Roman" w:cs="Times New Roman"/>
          <w:bCs/>
          <w:sz w:val="28"/>
          <w:szCs w:val="28"/>
        </w:rPr>
        <w:t>определению оценки свариваемости металла</w:t>
      </w:r>
      <w:r w:rsidRPr="00F23F80">
        <w:rPr>
          <w:rFonts w:ascii="Times New Roman" w:hAnsi="Times New Roman" w:cs="Times New Roman"/>
          <w:sz w:val="28"/>
          <w:szCs w:val="28"/>
        </w:rPr>
        <w:t>.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827C68" w:rsidRPr="00F23F80" w:rsidRDefault="00827C68" w:rsidP="00827C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1. Опишите назначение входного контроля качества исходных материалов.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23F80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1.Какие электроды рекомендуется применять?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2.Что включает в себя</w:t>
      </w:r>
      <w:r w:rsidRPr="00F23F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контроль качества сварочных материалов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3.Каким требованиям должны удовлетворять электроды?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4.</w:t>
      </w:r>
      <w:r w:rsidRPr="00F23F8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23F80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производится очистка сварочной проволоки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5. Каким требованиям должна удовлетворять сварочная проволока?</w:t>
      </w: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68" w:rsidRPr="00F23F80" w:rsidRDefault="00827C68" w:rsidP="00827C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F23F80">
        <w:rPr>
          <w:b/>
          <w:sz w:val="28"/>
          <w:szCs w:val="28"/>
        </w:rPr>
        <w:t>Домашнее задание:</w:t>
      </w:r>
    </w:p>
    <w:p w:rsidR="00827C68" w:rsidRPr="00F23F80" w:rsidRDefault="00827C68" w:rsidP="00827C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827C68" w:rsidRPr="00F23F80" w:rsidRDefault="00827C68" w:rsidP="00827C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827C68" w:rsidRPr="00F23F80" w:rsidRDefault="00827C68" w:rsidP="00827C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827C68" w:rsidRPr="00827C68" w:rsidRDefault="00827C68" w:rsidP="00827C68">
      <w:pPr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7C68">
        <w:rPr>
          <w:rFonts w:ascii="Times New Roman" w:hAnsi="Times New Roman" w:cs="Times New Roman"/>
          <w:b/>
          <w:sz w:val="28"/>
          <w:szCs w:val="28"/>
        </w:rPr>
        <w:t xml:space="preserve">   </w:t>
      </w:r>
      <w:hyperlink r:id="rId5" w:history="1">
        <w:r w:rsidRPr="00827C6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827C68" w:rsidRPr="00F23F80" w:rsidRDefault="00827C68" w:rsidP="0082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68" w:rsidRDefault="00827C68" w:rsidP="0082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68" w:rsidRPr="00F23F80" w:rsidRDefault="00827C68" w:rsidP="00827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68" w:rsidRPr="00547262" w:rsidRDefault="00827C68" w:rsidP="00827C68">
      <w:pPr>
        <w:pStyle w:val="a4"/>
        <w:jc w:val="both"/>
        <w:rPr>
          <w:b/>
          <w:sz w:val="28"/>
          <w:szCs w:val="28"/>
        </w:rPr>
      </w:pPr>
      <w:r w:rsidRPr="00B1318C">
        <w:rPr>
          <w:b/>
          <w:sz w:val="28"/>
          <w:szCs w:val="28"/>
        </w:rPr>
        <w:lastRenderedPageBreak/>
        <w:t>Контроль качества сварочных материалов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Для дуговой сварки труб следует применять следующие типы электродов: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с основным покрытием Э42А, с </w:t>
      </w:r>
      <w:proofErr w:type="spell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рутиловым</w:t>
      </w:r>
      <w:proofErr w:type="spell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покрытием, Э46А, Э46Б, Э50А, Э50Б;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с </w:t>
      </w:r>
      <w:proofErr w:type="spell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рутиловым</w:t>
      </w:r>
      <w:proofErr w:type="spell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покрытием Э42-Р, Э46-Р;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с целлюлозным покрытием Э42-Ц, Э46-Ц;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сварочную проволоку следует подбирать по ГОСТ 2246-70;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порошковую проволоку - по ГОСТ 26271-84;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флюсы - по ГОСТ 9087-81.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i2947520"/>
      <w:bookmarkStart w:id="1" w:name="i2935156"/>
      <w:bookmarkEnd w:id="0"/>
      <w:bookmarkEnd w:id="1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газовой сварке труб следует применять проволоку - по ГОСТ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10543-98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марок: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СВ-08, СВ-08А, СВ-08ГА, СВ-08ГС, СВ-12ГС и др.;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кислород технический по ГОСТ 5583-78*;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ацетилен в баллонах по ГОСТ 5457-75*, или ацетилен, полученный на месте производства работ из карбида кальция по ГОСТ 1460-81.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" w:name="i2966066"/>
      <w:bookmarkStart w:id="3" w:name="i2954354"/>
      <w:bookmarkEnd w:id="2"/>
      <w:bookmarkEnd w:id="3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Контроль качества сварочных материалов (электродов, сварочной проволоки, флюсов и др.) включает: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проверку наличия документов о качестве (сертификатов, паспортов) с определением соответствия данных, приведенных в них, требованиям стандартов;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проверку наличия этикеток (ярлыков) или бирок с определением указанных в них данных на каждом упаковочном месте (пачке, коробке, ящике, мотке, бухте и пр.);</w:t>
      </w:r>
    </w:p>
    <w:p w:rsidR="00827C68" w:rsidRPr="001A75F1" w:rsidRDefault="00827C68" w:rsidP="00827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проверку отсутствия повреждений упаковок и самих материалов.</w:t>
      </w:r>
    </w:p>
    <w:p w:rsidR="00827C68" w:rsidRPr="00F27740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bookmarkStart w:id="4" w:name="i2984508"/>
      <w:bookmarkStart w:id="5" w:name="i2978721"/>
      <w:bookmarkEnd w:id="4"/>
      <w:bookmarkEnd w:id="5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Пользоваться для сварки электродами или проволокой без сертификата или без испытаний по методикам, приведенных в стандартах, нельзя.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отсутствия сертификатов на электроды и порошковую проволоку необходимо определять механические свойства стыковых сварных соединений, выполненных с применением этих материалов. Сварные стыковые образцы следует испытывать на статическое растяжение, статический и ударный изгиб при температуре 20</w:t>
      </w:r>
      <w:proofErr w:type="gram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°С</w:t>
      </w:r>
      <w:proofErr w:type="gram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ГОСТ 6996-66*в кол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ичестве, указанном в таблице 1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. Показатели механических свойств определяются как среднее арифметическое от числа испытанных образцов.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расхождения сертификатных данных или результатов испытаний (при отсутствии сертификата) с требованиями соответствующего нормативного документа данная партия электродов и порошковой проволоки к использованию не допускается.</w:t>
      </w:r>
    </w:p>
    <w:p w:rsidR="00827C68" w:rsidRPr="00A01836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i2995461"/>
      <w:r w:rsidRPr="00A01836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</w:t>
      </w:r>
      <w:bookmarkEnd w:id="6"/>
      <w:r w:rsidRPr="00A0183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1836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A018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31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Показатели механических свойств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0"/>
        <w:gridCol w:w="1532"/>
        <w:gridCol w:w="6033"/>
      </w:tblGrid>
      <w:tr w:rsidR="00827C68" w:rsidRPr="001A75F1" w:rsidTr="00497F54">
        <w:trPr>
          <w:tblHeader/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i3007077"/>
            <w:r w:rsidRPr="001A75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 испытания</w:t>
            </w:r>
            <w:bookmarkEnd w:id="7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образцов, не менее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Нормируемый показатель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Статическое растяжение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Временное сопротивление разрыву - не </w:t>
            </w:r>
            <w:proofErr w:type="gramStart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 нижнего</w:t>
            </w:r>
            <w:proofErr w:type="gramEnd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предела временного сопротивления основного металла.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Статический изгиб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Угол статического изгиба, град., для сталей толщиной, </w:t>
            </w:r>
            <w:proofErr w:type="gramStart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углеродистых: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20, не менее 100;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св. 20, не менее 80;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низколегированных: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20, не менее 80;</w:t>
            </w:r>
          </w:p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св. 20, не менее 60.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Ударный изгиб металла шва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Ударная вязкость - не менее величины, указанной в технологической документации на монтажную сварку данной конструкции</w:t>
            </w:r>
          </w:p>
        </w:tc>
      </w:tr>
    </w:tbl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8" w:name="i3025604"/>
      <w:bookmarkStart w:id="9" w:name="i3013382"/>
      <w:bookmarkEnd w:id="8"/>
      <w:bookmarkEnd w:id="9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обнаружении повреждения или порчи упаковки или самих материалов вопрос о возможности их использования решается руководителем сварочных работ совместно со службой технического контроля монтажной организации.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0" w:name="i3041684"/>
      <w:bookmarkStart w:id="11" w:name="i3035811"/>
      <w:bookmarkEnd w:id="10"/>
      <w:bookmarkEnd w:id="11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Сварочные материалы должны храниться в условиях, исключающих возможность увлажнения или повреждения покрытия.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Электроды, порошковая проволока и флюсы перед сваркой должны быть прокалены в соответствии с режимами, указанными в ГОСТ или ТУ и паспортах для данного вида сварочных материалов. В случае отсутствия таких данных режим прокалки выбирает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ся в соответствии с таблицей 2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. Импортные электроды прокаливают по тому же режиму, что и отечественные с аналогичным типом покрытия.</w:t>
      </w:r>
    </w:p>
    <w:p w:rsidR="00827C68" w:rsidRPr="00A01836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i3054073"/>
      <w:r w:rsidRPr="00A01836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</w:t>
      </w:r>
      <w:bookmarkEnd w:id="12"/>
      <w:r w:rsidRPr="00A0183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1836">
        <w:rPr>
          <w:rFonts w:ascii="Times New Roman" w:eastAsia="Times New Roman" w:hAnsi="Times New Roman" w:cs="Times New Roman"/>
          <w:i/>
          <w:iCs/>
          <w:sz w:val="28"/>
          <w:szCs w:val="28"/>
        </w:rPr>
        <w:t>2.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8"/>
        <w:gridCol w:w="1608"/>
        <w:gridCol w:w="3219"/>
      </w:tblGrid>
      <w:tr w:rsidR="00827C68" w:rsidRPr="001A75F1" w:rsidTr="00497F54">
        <w:trPr>
          <w:tblHeader/>
          <w:tblCellSpacing w:w="0" w:type="dxa"/>
        </w:trPr>
        <w:tc>
          <w:tcPr>
            <w:tcW w:w="2450" w:type="pct"/>
            <w:vMerge w:val="restart"/>
            <w:shd w:val="clear" w:color="auto" w:fill="FFFFFF"/>
            <w:vAlign w:val="center"/>
            <w:hideMark/>
          </w:tcPr>
          <w:p w:rsidR="00827C68" w:rsidRPr="00A01836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i3066042"/>
            <w:r w:rsidRPr="00A01836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 сварочного материала</w:t>
            </w:r>
            <w:bookmarkEnd w:id="13"/>
          </w:p>
        </w:tc>
        <w:tc>
          <w:tcPr>
            <w:tcW w:w="2550" w:type="pct"/>
            <w:gridSpan w:val="2"/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Режимы прокалки электродов перед использованием</w:t>
            </w:r>
          </w:p>
        </w:tc>
      </w:tr>
      <w:tr w:rsidR="00827C68" w:rsidRPr="001A75F1" w:rsidTr="00497F54">
        <w:trPr>
          <w:tblHeader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Температура, °</w:t>
            </w:r>
            <w:proofErr w:type="gramStart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прокалки, час (допуск 0,5 ч.)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Электроды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 основным покрытием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360 - 400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 </w:t>
            </w:r>
            <w:proofErr w:type="spellStart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рутиловым</w:t>
            </w:r>
            <w:proofErr w:type="spellEnd"/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покрытием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140 - 190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Порошковая проволока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ПП-АН1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150 - 180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ПП-АН3, ПП-АН7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230 - 250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СП-2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190 - 210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СП-3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190 - 210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ППТ-13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160 - 180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ПП-АН11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240 - 250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Флюсы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ОСЦ-45, ОСЦ-45М, АН-348А, АН-348АМ, АНЦ-1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300 - 400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АН-17М, АН-43, АН-47, АН-60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400 - 450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ФЦ-16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600 - 640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</w:tr>
      <w:tr w:rsidR="00827C68" w:rsidRPr="001A75F1" w:rsidTr="00497F54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АН-42, АН-12М</w:t>
            </w:r>
          </w:p>
        </w:tc>
        <w:tc>
          <w:tcPr>
            <w:tcW w:w="8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630 - 670</w:t>
            </w:r>
          </w:p>
        </w:tc>
        <w:tc>
          <w:tcPr>
            <w:tcW w:w="1700" w:type="pct"/>
            <w:shd w:val="clear" w:color="auto" w:fill="FFFFFF"/>
            <w:hideMark/>
          </w:tcPr>
          <w:p w:rsidR="00827C68" w:rsidRPr="001A75F1" w:rsidRDefault="00827C68" w:rsidP="00497F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</w:tr>
    </w:tbl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4" w:name="i3087359"/>
      <w:bookmarkStart w:id="15" w:name="i3075811"/>
      <w:bookmarkEnd w:id="14"/>
      <w:bookmarkEnd w:id="15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Электроды с основным (фтористо-кальциевым) покрытием следует использовать в течение 5 суток после прокалки, остальные материалы - в течение 15 суток.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По истечении указанного срока сварочные материалы должны быть перед применением повторно прокалены. Прокалка электродов может проводиться не более трех раз, не считая прокалки при их изготовлении. В случае хранения электродов в сушильном шкафу при температуре 60 - 100</w:t>
      </w:r>
      <w:proofErr w:type="gram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°С</w:t>
      </w:r>
      <w:proofErr w:type="gram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срок использования их не ограничивается.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6" w:name="i3102792"/>
      <w:bookmarkStart w:id="17" w:name="i3094369"/>
      <w:bookmarkEnd w:id="16"/>
      <w:bookmarkEnd w:id="17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Перед применением электродов независимо от наличия сертификата должны быть проверены сварочно-технологические свойства каждой партии.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Проверка сварочно-технологических свойств электродов должна поручаться опытному дипломированному сварщику и выполняться в соответствии с п.п. 5.7 - 5.10 ГОСТ 9466-750*. Результаты проверки оформляются актом. Перед выдачей электродов сварщику необходимо убедиться в том, что электроды были прокалены, и срок действия прокалки не истек.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8" w:name="i3122456"/>
      <w:bookmarkStart w:id="19" w:name="i3117520"/>
      <w:bookmarkEnd w:id="18"/>
      <w:bookmarkEnd w:id="19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Сварочно-технологические свойства электродов необходимо определять при сварке в потолочном положении одностороннего таврового образца из двух пластин размером 180´140 мм.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Сварку выполняют в один слой. После сварки таврового образца сварной шов и излом по шву осматривают. Для облегчения разрушения образца следует сделать надрез </w:t>
      </w:r>
      <w:proofErr w:type="gram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по середине</w:t>
      </w:r>
      <w:proofErr w:type="gram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шва со стороны усиления глубиной 1,5 - 2 мм.</w:t>
      </w:r>
    </w:p>
    <w:p w:rsidR="00827C68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0" w:name="i3144099"/>
      <w:bookmarkStart w:id="21" w:name="i3137760"/>
      <w:bookmarkEnd w:id="20"/>
      <w:bookmarkEnd w:id="21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</w:t>
      </w:r>
      <w:proofErr w:type="spell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Сплошность</w:t>
      </w:r>
      <w:proofErr w:type="spell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металла шва, определяемая в изломе образца, должна отвечать требованиям, предъявляемым к сварным соединениям по результатам радиографического контроля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27C68" w:rsidRPr="00F27740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Сварочно-технологические свойства электродов должны удовлетворять следующим основным требованиям: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дуга должна легко зажигаться и стабильно гореть;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покрытие должно плавиться равномерно, без чрезмерного разбрызгивания, отваливания кусков и образования «козырька», препятствующих нормальному плавлению электрода во всех пространственных положениях;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образование «козырька» из покрытия размером более 4 мм и отваливание кусочков не расплавившегося покрытия от стержня является признаком брака;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образующийся при сварке шлак должен обеспечивать правильное формирование шва и легко удаляться после охлаждения.</w:t>
      </w:r>
    </w:p>
    <w:p w:rsidR="00827C68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определения размера «козырька» и прочности покрытия отбирается 10 - 12 электродов из 5 - 6 пачек и производится их расплавление в вертикальном положении при угле наклона электрода к шву 50 - 60°. Измерение «козырька» производится от торца стержня электрода до наиболее удаленной части оплавившегося покрытия.</w:t>
      </w:r>
      <w:bookmarkStart w:id="22" w:name="i3162239"/>
      <w:bookmarkStart w:id="23" w:name="i3154435"/>
      <w:bookmarkEnd w:id="22"/>
      <w:bookmarkEnd w:id="23"/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неудовлетворительных сварочно-технологических свойствах электроды следует повторно прокалить в печи по одному из режимов, указанных в таблице 3.3. Если после повторной прокалки технологические свойства электродов не удовлетворяют приведенным выше требованиям, то данную партию электродов использовать для сварки нельзя.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4" w:name="i3184005"/>
      <w:bookmarkStart w:id="25" w:name="i3177941"/>
      <w:bookmarkEnd w:id="24"/>
      <w:bookmarkEnd w:id="25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Сварочная проволока должна быть очищена от ржавчины, жиров и других загрязнений от металлического блеска, смотана в бухты или намотана на катушки.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При необходимости проволоку очищают от ржавчины и грязи травлением в 5 % растворе соляной или ингибированной (3 % раствор уротропина в соляной кислоте) кислоты.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очищать проволоку, пропуская ее через специальные механические устройства (в том числе через устройства, заполненные сварочным флюсом, кирпичом, осколками наждачных кругов и войлочными фильтрами). Перед очисткой бухту проволоки рекомендуется прокалить при температуре 150 - 200</w:t>
      </w:r>
      <w:proofErr w:type="gramStart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°С</w:t>
      </w:r>
      <w:proofErr w:type="gramEnd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течение 1,5 - 2 часов.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Разрешается также очищать проволоку наждачной шкуркой или любыми другими способами до металлического блеска. При очистке проволоки нельзя допускать ее резких перегибов (переломов), что может нарушить нормальный процесс подачи проволоки в зону сварки.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6" w:name="i3203916"/>
      <w:bookmarkStart w:id="27" w:name="i3198264"/>
      <w:bookmarkEnd w:id="26"/>
      <w:bookmarkEnd w:id="27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Порошковая проволока должна храниться в бухтах или на катушках в специальной таре, предупреждающей ее увлажнение. Перемотку порошковой проволоки производить запрещается.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Каждая бухта порошковой проволоки должна быть проконтролирована путем внешнего осмотра на предмет определения чистоты поверхности проволоки, повреждения и переломов оболочки.</w:t>
      </w:r>
    </w:p>
    <w:p w:rsidR="00827C68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8" w:name="i3221887"/>
      <w:bookmarkStart w:id="29" w:name="i3216083"/>
      <w:bookmarkEnd w:id="28"/>
      <w:bookmarkEnd w:id="29"/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Каждая партия порошковой проволоки перед применением должна быть проверена на сварочно-технологические свойства путем наплавки валика на пластину и визуального контроля поверхности валика на наличие трещин, пор и неровностей. Наплавка валика производится на пластину толщиной 14 - 18 мм из углеродистой стали в нижнем положении по режиму, предписанному для данной марки проволоки. </w:t>
      </w:r>
    </w:p>
    <w:p w:rsidR="00827C68" w:rsidRPr="00F27740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Сварочно-технологические свойства считаются удовлетворительными, если выполнены следующие требования: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на поверхности валика не будет обнаружено трещин;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максимальный размер поры не превышает 1,2 мм, а число пор на любых 100 м протяженности валика не превышает 5;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- глубина чешуйчатости не превышает 1,5 мм.</w:t>
      </w:r>
    </w:p>
    <w:p w:rsidR="00827C68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0" w:name="i3248666"/>
      <w:bookmarkStart w:id="31" w:name="i3238715"/>
      <w:bookmarkEnd w:id="30"/>
      <w:bookmarkEnd w:id="31"/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Сварочные материалы должны подаваться на рабочее место </w:t>
      </w:r>
      <w:proofErr w:type="gramStart"/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замаркированными</w:t>
      </w:r>
      <w:proofErr w:type="gramEnd"/>
      <w:r w:rsidRPr="00F277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в количестве, необходимом для работы в течение смены</w:t>
      </w:r>
      <w:r w:rsidRPr="001A75F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27C68" w:rsidRPr="001A75F1" w:rsidRDefault="00827C68" w:rsidP="00827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27C68" w:rsidRDefault="00827C68" w:rsidP="00827C68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827C68" w:rsidRDefault="00827C68" w:rsidP="00827C68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827C68" w:rsidRDefault="00827C68" w:rsidP="00827C68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827C68" w:rsidRDefault="00827C68" w:rsidP="00827C68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827C68" w:rsidRDefault="00827C68" w:rsidP="006C5078"/>
    <w:sectPr w:rsidR="00827C68" w:rsidSect="0095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078"/>
    <w:rsid w:val="006C5078"/>
    <w:rsid w:val="00827C68"/>
    <w:rsid w:val="00950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AB"/>
  </w:style>
  <w:style w:type="paragraph" w:styleId="2">
    <w:name w:val="heading 2"/>
    <w:basedOn w:val="a"/>
    <w:next w:val="a"/>
    <w:link w:val="20"/>
    <w:uiPriority w:val="9"/>
    <w:unhideWhenUsed/>
    <w:qFormat/>
    <w:rsid w:val="006C50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C50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C5078"/>
    <w:rPr>
      <w:color w:val="0000FF"/>
      <w:u w:val="single"/>
    </w:rPr>
  </w:style>
  <w:style w:type="character" w:styleId="a6">
    <w:name w:val="Emphasis"/>
    <w:basedOn w:val="a0"/>
    <w:uiPriority w:val="20"/>
    <w:qFormat/>
    <w:rsid w:val="006C50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4" Type="http://schemas.openxmlformats.org/officeDocument/2006/relationships/hyperlink" Target="mailto:kydryavc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2772</Words>
  <Characters>15807</Characters>
  <Application>Microsoft Office Word</Application>
  <DocSecurity>0</DocSecurity>
  <Lines>131</Lines>
  <Paragraphs>37</Paragraphs>
  <ScaleCrop>false</ScaleCrop>
  <Company/>
  <LinksUpToDate>false</LinksUpToDate>
  <CharactersWithSpaces>18542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2021-03-18T14:41:00Z</dcterms:created>
  <dcterms:modified xsi:type="dcterms:W3CDTF">2021-03-18T14:55:00Z</dcterms:modified>
</cp:coreProperties>
</file>