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Минобрнауки России от 21.04.2014 N 360</w:t>
              <w:br/>
              <w:t xml:space="preserve">(ред. от 01.09.2022)</w:t>
              <w:br/>
              <w:t xml:space="preserve">"Об утверждении федерального государственного образовательного стандарта среднего профессионального образования по специальности 22.02.06 Сварочное производство"</w:t>
              <w:br/>
              <w:t xml:space="preserve">(Зарегистрировано в Минюсте России 27.06.2014 N 32877)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16.12.2022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0"/>
        <w:outlineLvl w:val="0"/>
      </w:pPr>
      <w:r>
        <w:rPr>
          <w:sz w:val="20"/>
        </w:rPr>
        <w:t xml:space="preserve">Зарегистрировано в Минюсте России 27 июня 2014 г. N 32877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МИНИСТЕРСТВО ОБРАЗОВАНИЯ И НАУКИ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21 апреля 2014 г. N 360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</w:t>
      </w:r>
    </w:p>
    <w:p>
      <w:pPr>
        <w:pStyle w:val="2"/>
        <w:jc w:val="center"/>
      </w:pPr>
      <w:r>
        <w:rPr>
          <w:sz w:val="20"/>
        </w:rPr>
        <w:t xml:space="preserve">ФЕДЕРАЛЬНОГО ГОСУДАРСТВЕННОГО ОБРАЗОВАТЕЛЬНОГО СТАНДАРТА</w:t>
      </w:r>
    </w:p>
    <w:p>
      <w:pPr>
        <w:pStyle w:val="2"/>
        <w:jc w:val="center"/>
      </w:pPr>
      <w:r>
        <w:rPr>
          <w:sz w:val="20"/>
        </w:rPr>
        <w:t xml:space="preserve">СРЕДНЕГО ПРОФЕССИОНАЛЬНОГО ОБРАЗОВАНИЯ ПО СПЕЦИАЛЬНОСТИ</w:t>
      </w:r>
    </w:p>
    <w:p>
      <w:pPr>
        <w:pStyle w:val="2"/>
        <w:jc w:val="center"/>
      </w:pPr>
      <w:r>
        <w:rPr>
          <w:sz w:val="20"/>
        </w:rPr>
        <w:t xml:space="preserve">22.02.06 СВАРОЧНОЕ ПРОИЗВОДСТВО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7" w:tooltip="Приказ Минобрнауки России от 09.04.2015 N 389 (ред. от 03.12.2019)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08.05.2015 N 37216) {КонсультантПлюс}">
              <w:r>
                <w:rPr>
                  <w:sz w:val="20"/>
                  <w:color w:val="0000ff"/>
                </w:rPr>
                <w:t xml:space="preserve">Приказа</w:t>
              </w:r>
            </w:hyperlink>
            <w:r>
              <w:rPr>
                <w:sz w:val="20"/>
                <w:color w:val="392c69"/>
              </w:rPr>
              <w:t xml:space="preserve"> Минобрнауки России от 09.04.2015 N 389,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Приказов Минпросвещения России от 13.07.2021 </w:t>
            </w:r>
            <w:hyperlink w:history="0" r:id="rId8" w:tooltip="Приказ Минпросвещения России от 13.07.2021 N 450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4.10.2021 N 65410) {КонсультантПлюс}">
              <w:r>
                <w:rPr>
                  <w:sz w:val="20"/>
                  <w:color w:val="0000ff"/>
                </w:rPr>
                <w:t xml:space="preserve">N 450</w:t>
              </w:r>
            </w:hyperlink>
            <w:r>
              <w:rPr>
                <w:sz w:val="20"/>
                <w:color w:val="392c69"/>
              </w:rPr>
              <w:t xml:space="preserve">, от 01.09.2022 </w:t>
            </w:r>
            <w:hyperlink w:history="0" r:id="rId9" w:tooltip="Приказ Минпросвещения России от 01.09.2022 N 796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1.10.2022 N 70461) {КонсультантПлюс}">
              <w:r>
                <w:rPr>
                  <w:sz w:val="20"/>
                  <w:color w:val="0000ff"/>
                </w:rPr>
                <w:t xml:space="preserve">N 796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r>
        <w:rPr>
          <w:sz w:val="20"/>
        </w:rPr>
        <w:t xml:space="preserve">подпунктом 5.2.41</w:t>
      </w:r>
      <w:r>
        <w:rPr>
          <w:sz w:val="20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582), </w:t>
      </w:r>
      <w:hyperlink w:history="0" r:id="rId10" w:tooltip="Постановление Правительства РФ от 05.08.2013 N 661 (ред. от 08.01.2018) &quot;Об утверждении Правил разработки, утверждения федеральных государственных образовательных стандартов и внесения в них изменений&quot; ------------ Утратил силу или отменен {КонсультантПлюс}">
        <w:r>
          <w:rPr>
            <w:sz w:val="20"/>
            <w:color w:val="0000ff"/>
          </w:rPr>
          <w:t xml:space="preserve">пунктом 17</w:t>
        </w:r>
      </w:hyperlink>
      <w:r>
        <w:rPr>
          <w:sz w:val="20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4377), приказываю: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прилагаемый федеральный государственный образовательный </w:t>
      </w:r>
      <w:hyperlink w:history="0" w:anchor="P36" w:tooltip="ФЕДЕРАЛЬНЫЙ ГОСУДАРСТВЕННЫЙ ОБРАЗОВАТЕЛЬНЫЙ СТАНДАРТ">
        <w:r>
          <w:rPr>
            <w:sz w:val="20"/>
            <w:color w:val="0000ff"/>
          </w:rPr>
          <w:t xml:space="preserve">стандарт</w:t>
        </w:r>
      </w:hyperlink>
      <w:r>
        <w:rPr>
          <w:sz w:val="20"/>
        </w:rPr>
        <w:t xml:space="preserve"> среднего профессионального образования по специальности 22.02.06 Сварочное производство.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Признать утратившим силу </w:t>
      </w:r>
      <w:hyperlink w:history="0" r:id="rId11" w:tooltip="Приказ Минобрнауки России от 23.11.2009 N 654 &quot;Об утверждении и введении в действие федерального государственного образовательного стандарта среднего профессионального образования по специальности 150415 Сварочное производство&quot; (Зарегистрировано в Минюсте России 17.12.2009 N 15690) ------------ Утратил силу или отменен {КонсультантПлюс}">
        <w:r>
          <w:rPr>
            <w:sz w:val="20"/>
            <w:color w:val="0000ff"/>
          </w:rPr>
          <w:t xml:space="preserve">приказ</w:t>
        </w:r>
      </w:hyperlink>
      <w:r>
        <w:rPr>
          <w:sz w:val="20"/>
        </w:rPr>
        <w:t xml:space="preserve"> Министерства образования и науки Российской Федерации от 23 ноября 2009 г. N 654 "Об утверждении и введении в действие федерального государственного образовательного стандарта среднего профессионального образования по специальности 150415 Сварочное производство" (зарегистрирован Министерством юстиции Российской Федерации 17 декабря 2009 г., регистрационный N 15690).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Настоящий приказ вступает в силу с 1 сентября 2014 года.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Министр</w:t>
      </w:r>
    </w:p>
    <w:p>
      <w:pPr>
        <w:pStyle w:val="0"/>
        <w:jc w:val="right"/>
      </w:pPr>
      <w:r>
        <w:rPr>
          <w:sz w:val="20"/>
        </w:rPr>
        <w:t xml:space="preserve">Д.В.ЛИВАНОВ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приказом Министерства образования</w:t>
      </w:r>
    </w:p>
    <w:p>
      <w:pPr>
        <w:pStyle w:val="0"/>
        <w:jc w:val="right"/>
      </w:pPr>
      <w:r>
        <w:rPr>
          <w:sz w:val="20"/>
        </w:rPr>
        <w:t xml:space="preserve">и науки 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21 апреля 2014 г. N 360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36" w:name="P36"/>
    <w:bookmarkEnd w:id="36"/>
    <w:p>
      <w:pPr>
        <w:pStyle w:val="2"/>
        <w:jc w:val="center"/>
      </w:pPr>
      <w:r>
        <w:rPr>
          <w:sz w:val="20"/>
        </w:rPr>
        <w:t xml:space="preserve">ФЕДЕРАЛЬНЫЙ ГОСУДАРСТВЕННЫЙ ОБРАЗОВАТЕЛЬНЫЙ СТАНДАРТ</w:t>
      </w:r>
    </w:p>
    <w:p>
      <w:pPr>
        <w:pStyle w:val="2"/>
        <w:jc w:val="center"/>
      </w:pPr>
      <w:r>
        <w:rPr>
          <w:sz w:val="20"/>
        </w:rPr>
        <w:t xml:space="preserve">СРЕДНЕГО ПРОФЕССИОНАЛЬНОГО ОБРАЗОВАНИЯ ПО СПЕЦИАЛЬНОСТИ</w:t>
      </w:r>
    </w:p>
    <w:p>
      <w:pPr>
        <w:pStyle w:val="2"/>
        <w:jc w:val="center"/>
      </w:pPr>
      <w:r>
        <w:rPr>
          <w:sz w:val="20"/>
        </w:rPr>
        <w:t xml:space="preserve">22.02.06 СВАРОЧНОЕ ПРОИЗВОДСТВО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12" w:tooltip="Приказ Минобрнауки России от 09.04.2015 N 389 (ред. от 03.12.2019)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08.05.2015 N 37216) {КонсультантПлюс}">
              <w:r>
                <w:rPr>
                  <w:sz w:val="20"/>
                  <w:color w:val="0000ff"/>
                </w:rPr>
                <w:t xml:space="preserve">Приказа</w:t>
              </w:r>
            </w:hyperlink>
            <w:r>
              <w:rPr>
                <w:sz w:val="20"/>
                <w:color w:val="392c69"/>
              </w:rPr>
              <w:t xml:space="preserve"> Минобрнауки России от 09.04.2015 N 389,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Приказов Минпросвещения России от 13.07.2021 </w:t>
            </w:r>
            <w:hyperlink w:history="0" r:id="rId13" w:tooltip="Приказ Минпросвещения России от 13.07.2021 N 450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4.10.2021 N 65410) {КонсультантПлюс}">
              <w:r>
                <w:rPr>
                  <w:sz w:val="20"/>
                  <w:color w:val="0000ff"/>
                </w:rPr>
                <w:t xml:space="preserve">N 450</w:t>
              </w:r>
            </w:hyperlink>
            <w:r>
              <w:rPr>
                <w:sz w:val="20"/>
                <w:color w:val="392c69"/>
              </w:rPr>
              <w:t xml:space="preserve">, от 01.09.2022 </w:t>
            </w:r>
            <w:hyperlink w:history="0" r:id="rId14" w:tooltip="Приказ Минпросвещения России от 01.09.2022 N 796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1.10.2022 N 70461) {КонсультантПлюс}">
              <w:r>
                <w:rPr>
                  <w:sz w:val="20"/>
                  <w:color w:val="0000ff"/>
                </w:rPr>
                <w:t xml:space="preserve">N 796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I. ОБЛАСТЬ ПРИМЕНЕНИЯ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1.1. 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к среднему профессиональному образованию по специальности 22.02.06 Сварочное производство для профессиональной образовательной организации и образовательной организации высшего образования, которые имеют право на реализацию имеющих государственную аккредитацию программ подготовки специалистов среднего звена по данной специальности, на территории Российской Федерации (далее - образовательная организация).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1.2. Право на реализацию программы подготовки специалистов среднего звена по специальности 22.02.06 Сварочное производство имеет образовательная организация при наличии соответствующей лицензии на осуществление образовательной деятельности.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Возможна сетевая форма реализации программы подготовки специалистов среднего звена с использованием ресурсов нескольких образовательных организаций. В реализации программы подготовки специалистов среднего звена с использованием сетевой формы наряду с образовательными организациями также могут участвовать медицинские организации, организации культуры, физкультурно-спортивные и иные организации, обладающие ресурсами, необходимыми для осуществления обучения, проведения учебной и производственной практики и осуществления иных видов учебной деятельности, предусмотренных программой подготовки специалистов среднего звена.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1.3. Образовательная деятельность при освоении образовательной программы или отдельных ее компонентов организуется в форме практической подготовки.</w:t>
      </w:r>
    </w:p>
    <w:p>
      <w:pPr>
        <w:pStyle w:val="0"/>
        <w:jc w:val="both"/>
      </w:pPr>
      <w:r>
        <w:rPr>
          <w:sz w:val="20"/>
        </w:rPr>
        <w:t xml:space="preserve">(п. 1.3 введен </w:t>
      </w:r>
      <w:hyperlink w:history="0" r:id="rId15" w:tooltip="Приказ Минпросвещения России от 13.07.2021 N 450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4.10.2021 N 65410) {КонсультантПлюс}">
        <w:r>
          <w:rPr>
            <w:sz w:val="20"/>
            <w:color w:val="0000ff"/>
          </w:rPr>
          <w:t xml:space="preserve">Приказом</w:t>
        </w:r>
      </w:hyperlink>
      <w:r>
        <w:rPr>
          <w:sz w:val="20"/>
        </w:rPr>
        <w:t xml:space="preserve"> Минпросвещения России от 13.07.2021 N 450)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1.4. Воспитание обучающихся при освоении ими образовательной программы осуществляется на основе включаемых в образовательную программу рабочей программы воспитания и календарного плана воспитательной работы, разрабатываемых и утверждаемых с учетом включенных в примерную основную образовательную программу примерной рабочей программы воспитания и примерного календарного плана воспитательной работы.</w:t>
      </w:r>
    </w:p>
    <w:p>
      <w:pPr>
        <w:pStyle w:val="0"/>
        <w:jc w:val="both"/>
      </w:pPr>
      <w:r>
        <w:rPr>
          <w:sz w:val="20"/>
        </w:rPr>
        <w:t xml:space="preserve">(п. 1.4 введен </w:t>
      </w:r>
      <w:hyperlink w:history="0" r:id="rId16" w:tooltip="Приказ Минпросвещения России от 13.07.2021 N 450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4.10.2021 N 65410) {КонсультантПлюс}">
        <w:r>
          <w:rPr>
            <w:sz w:val="20"/>
            <w:color w:val="0000ff"/>
          </w:rPr>
          <w:t xml:space="preserve">Приказом</w:t>
        </w:r>
      </w:hyperlink>
      <w:r>
        <w:rPr>
          <w:sz w:val="20"/>
        </w:rPr>
        <w:t xml:space="preserve"> Минпросвещения России от 13.07.2021 N 450)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II. ИСПОЛЬЗУЕМЫЕ СОКРАЩЕНИЯ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2.1. В настоящем стандарте используются следующие сокращения: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СПО - среднее профессиональное образование;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ФГОС СПО - федеральный государственный образовательный стандарт среднего профессионального образования;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ППССЗ - программа подготовки специалистов среднего звена;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- общая компетенция;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- профессиональная компетенция;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ПМ - профессиональный модуль;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МДК - междисциплинарный курс.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III. ХАРАКТЕРИСТИКА ПОДГОТОВКИ ПО СПЕЦИАЛЬНОСТИ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3.1. Получение СПО по ППССЗ допускается только в образовательной организации.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 Сроки получения СПО по специальности 22.02.06 Сварочное производство базовой подготовки в очной форме обучения и присваиваемая квалификация приводятся в Таблице 1.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2"/>
        <w:jc w:val="right"/>
      </w:pPr>
      <w:r>
        <w:rPr>
          <w:sz w:val="20"/>
        </w:rPr>
        <w:t xml:space="preserve">Таблица 1</w:t>
      </w:r>
    </w:p>
    <w:p>
      <w:pPr>
        <w:pStyle w:val="0"/>
        <w:ind w:firstLine="54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958"/>
        <w:gridCol w:w="3457"/>
        <w:gridCol w:w="3224"/>
      </w:tblGrid>
      <w:tr>
        <w:tc>
          <w:tcPr>
            <w:tcW w:w="295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образования, необходимый для приема на обучение по ППССЗ</w:t>
            </w:r>
          </w:p>
        </w:tc>
        <w:tc>
          <w:tcPr>
            <w:tcW w:w="345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квалификации базовой подготовки</w:t>
            </w:r>
          </w:p>
        </w:tc>
        <w:tc>
          <w:tcPr>
            <w:tcW w:w="32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Срок получения СПО по ППССЗ базовой подготовки в очной форме обучения </w:t>
            </w:r>
            <w:hyperlink w:history="0" w:anchor="P81" w:tooltip="&lt;1&gt; Независимо от применяемых образовательных технологий.">
              <w:r>
                <w:rPr>
                  <w:sz w:val="20"/>
                  <w:color w:val="0000ff"/>
                </w:rPr>
                <w:t xml:space="preserve">&lt;1&gt;</w:t>
              </w:r>
            </w:hyperlink>
          </w:p>
        </w:tc>
      </w:tr>
      <w:tr>
        <w:tc>
          <w:tcPr>
            <w:tcW w:w="295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среднее общее образование</w:t>
            </w:r>
          </w:p>
        </w:tc>
        <w:tc>
          <w:tcPr>
            <w:tcW w:w="3457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Техник</w:t>
            </w:r>
          </w:p>
        </w:tc>
        <w:tc>
          <w:tcPr>
            <w:tcW w:w="32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 года 10 месяцев</w:t>
            </w:r>
          </w:p>
        </w:tc>
      </w:tr>
      <w:tr>
        <w:tc>
          <w:tcPr>
            <w:tcW w:w="295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основное общее образование</w:t>
            </w:r>
          </w:p>
        </w:tc>
        <w:tc>
          <w:tcPr>
            <w:vMerge w:val="continue"/>
          </w:tcPr>
          <w:p/>
        </w:tc>
        <w:tc>
          <w:tcPr>
            <w:tcW w:w="32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 года 10 месяцев </w:t>
            </w:r>
            <w:hyperlink w:history="0" w:anchor="P82" w:tooltip="&lt;2&gt; Образовательные организации, осуществляющие подготовку специалистов среднего звена на базе основного общего образования, реализуют федеральный государственный образовательный стандарт среднего общего образования в пределах ППССЗ, в том числе с учетом получаемой специальности СПО.">
              <w:r>
                <w:rPr>
                  <w:sz w:val="20"/>
                  <w:color w:val="0000ff"/>
                </w:rPr>
                <w:t xml:space="preserve">&lt;2&gt;</w:t>
              </w:r>
            </w:hyperlink>
          </w:p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--------------------------------</w:t>
      </w:r>
    </w:p>
    <w:bookmarkStart w:id="81" w:name="P81"/>
    <w:bookmarkEnd w:id="81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&lt;1&gt; Независимо от применяемых образовательных технологий.</w:t>
      </w:r>
    </w:p>
    <w:bookmarkStart w:id="82" w:name="P82"/>
    <w:bookmarkEnd w:id="82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&lt;2&gt; Образовательные организации, осуществляющие подготовку специалистов среднего звена на базе основного общего образования, реализуют федеральный государственный образовательный стандарт среднего общего образования в пределах ППССЗ, в том числе с учетом получаемой специальности СПО.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3.3. Сроки получения СПО по ППССЗ углубленной подготовки превышают на один год срок получения СПО по ППССЗ базовой подготовки.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Сроки получения СПО по ППССЗ углубленной подготовки в очной форме обучения и присваиваемая квалификация приводятся в Таблице 2.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2"/>
        <w:jc w:val="right"/>
      </w:pPr>
      <w:r>
        <w:rPr>
          <w:sz w:val="20"/>
        </w:rPr>
        <w:t xml:space="preserve">Таблица 2</w:t>
      </w:r>
    </w:p>
    <w:p>
      <w:pPr>
        <w:pStyle w:val="0"/>
        <w:ind w:firstLine="54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944"/>
        <w:gridCol w:w="3471"/>
        <w:gridCol w:w="3224"/>
      </w:tblGrid>
      <w:tr>
        <w:tc>
          <w:tcPr>
            <w:tcW w:w="29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образования, необходимый для приема на обучение по ППССЗ</w:t>
            </w:r>
          </w:p>
        </w:tc>
        <w:tc>
          <w:tcPr>
            <w:tcW w:w="347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квалификации углубленной подготовки</w:t>
            </w:r>
          </w:p>
        </w:tc>
        <w:tc>
          <w:tcPr>
            <w:tcW w:w="32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Срок получения СПО по ППССЗ углубленной подготовки в очной форме обучения </w:t>
            </w:r>
            <w:hyperlink w:history="0" w:anchor="P99" w:tooltip="&lt;3&gt; Независимо от применяемых образовательных технологий.">
              <w:r>
                <w:rPr>
                  <w:sz w:val="20"/>
                  <w:color w:val="0000ff"/>
                </w:rPr>
                <w:t xml:space="preserve">&lt;3&gt;</w:t>
              </w:r>
            </w:hyperlink>
          </w:p>
        </w:tc>
      </w:tr>
      <w:tr>
        <w:tc>
          <w:tcPr>
            <w:tcW w:w="29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среднее общее образование</w:t>
            </w:r>
          </w:p>
        </w:tc>
        <w:tc>
          <w:tcPr>
            <w:tcW w:w="347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Специалист сварочного производства</w:t>
            </w:r>
          </w:p>
        </w:tc>
        <w:tc>
          <w:tcPr>
            <w:tcW w:w="32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 года 10 месяцев</w:t>
            </w:r>
          </w:p>
        </w:tc>
      </w:tr>
      <w:tr>
        <w:tc>
          <w:tcPr>
            <w:tcW w:w="29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основное общее образование</w:t>
            </w:r>
          </w:p>
        </w:tc>
        <w:tc>
          <w:tcPr>
            <w:vMerge w:val="continue"/>
          </w:tcPr>
          <w:p/>
        </w:tc>
        <w:tc>
          <w:tcPr>
            <w:tcW w:w="32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 года 10 месяцев </w:t>
            </w:r>
            <w:hyperlink w:history="0" w:anchor="P100" w:tooltip="&lt;4&gt; Образовательные организации, осуществляющие подготовку специалистов среднего звена на базе основного общего образования, реализуют федеральный государственный образовательный стандарт среднего общего образования в пределах ППССЗ, в том числе с учетом получаемой специальности СПО.">
              <w:r>
                <w:rPr>
                  <w:sz w:val="20"/>
                  <w:color w:val="0000ff"/>
                </w:rPr>
                <w:t xml:space="preserve">&lt;4&gt;</w:t>
              </w:r>
            </w:hyperlink>
          </w:p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--------------------------------</w:t>
      </w:r>
    </w:p>
    <w:bookmarkStart w:id="99" w:name="P99"/>
    <w:bookmarkEnd w:id="99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&lt;3&gt; Независимо от применяемых образовательных технологий.</w:t>
      </w:r>
    </w:p>
    <w:bookmarkStart w:id="100" w:name="P100"/>
    <w:bookmarkEnd w:id="100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&lt;4&gt; Образовательные организации, осуществляющие подготовку специалистов среднего звена на базе основного общего образования, реализуют федеральный государственный образовательный стандарт среднего общего образования в пределах ППССЗ, в том числе с учетом получаемой специальности СПО.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Сроки получения СПО по ППССЗ базовой и углубленной подготовки независимо от применяемых образовательных технологий увеличиваются: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для обучающихся по очно-заочной и заочной формам обучения: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7" w:tooltip="Приказ Минобрнауки России от 09.04.2015 N 389 (ред. от 03.12.2019)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08.05.2015 N 37216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Минобрнауки России от 09.04.2015 N 389)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 базе среднего общего образования - не более чем на 1 год;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 базе основного общего образования - не более чем на 1,5 года;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для инвалидов и лиц с ограниченными возможностями здоровья - не более, чем на 10 месяцев.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3.4. Срок получения образования по образовательной программе, реализуемой в условиях эксперимента по разработке,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"Профессионалитет", а также объем такой образовательной программы могут быть уменьшены с учетом соответствующей ПООП, но не более чем на 40 процентов от срока получения образования и объема образовательной программы, установленных ФГОС СПО &lt;5&gt;, за исключением срока получения образования и объема образовательной программы, отведенных на получение среднего общего образования в пределах образовательной программы.</w:t>
      </w:r>
    </w:p>
    <w:p>
      <w:pPr>
        <w:pStyle w:val="0"/>
        <w:jc w:val="both"/>
      </w:pPr>
      <w:r>
        <w:rPr>
          <w:sz w:val="20"/>
        </w:rPr>
        <w:t xml:space="preserve">(п. 3.4 введен </w:t>
      </w:r>
      <w:hyperlink w:history="0" r:id="rId18" w:tooltip="Приказ Минпросвещения России от 01.09.2022 N 796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1.10.2022 N 70461) {КонсультантПлюс}">
        <w:r>
          <w:rPr>
            <w:sz w:val="20"/>
            <w:color w:val="0000ff"/>
          </w:rPr>
          <w:t xml:space="preserve">Приказом</w:t>
        </w:r>
      </w:hyperlink>
      <w:r>
        <w:rPr>
          <w:sz w:val="20"/>
        </w:rPr>
        <w:t xml:space="preserve"> Минпросвещения России от 01.09.2022 N 796)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&lt;5&gt; </w:t>
      </w:r>
      <w:hyperlink w:history="0" r:id="rId19" w:tooltip="Постановление Правительства РФ от 16.03.2022 N 387 &quot;О проведении эксперимента по разработке,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&quot;Профессионалитет&quot; (вместе с &quot;Положением о проведении эксперимента по разработке,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&quot;Профес {КонсультантПлюс}">
        <w:r>
          <w:rPr>
            <w:sz w:val="20"/>
            <w:color w:val="0000ff"/>
          </w:rPr>
          <w:t xml:space="preserve">Пункт 11</w:t>
        </w:r>
      </w:hyperlink>
      <w:r>
        <w:rPr>
          <w:sz w:val="20"/>
        </w:rPr>
        <w:t xml:space="preserve"> Положения о проведении эксперимента по разработке,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"Профессионалитет", утвержденного постановлением Правительства Российской Федерации от 16 марта 2022 г. N 387 (Собрание законодательства Российской Федерации, 2022, N 12, ст. 1871).</w:t>
      </w:r>
    </w:p>
    <w:p>
      <w:pPr>
        <w:pStyle w:val="0"/>
        <w:jc w:val="both"/>
      </w:pPr>
      <w:r>
        <w:rPr>
          <w:sz w:val="20"/>
        </w:rPr>
        <w:t xml:space="preserve">(сноска введена </w:t>
      </w:r>
      <w:hyperlink w:history="0" r:id="rId20" w:tooltip="Приказ Минпросвещения России от 01.09.2022 N 796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1.10.2022 N 70461) {КонсультантПлюс}">
        <w:r>
          <w:rPr>
            <w:sz w:val="20"/>
            <w:color w:val="0000ff"/>
          </w:rPr>
          <w:t xml:space="preserve">Приказом</w:t>
        </w:r>
      </w:hyperlink>
      <w:r>
        <w:rPr>
          <w:sz w:val="20"/>
        </w:rPr>
        <w:t xml:space="preserve"> Минпросвещения России от 01.09.2022 N 796)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IV. ХАРАКТЕРИСТИКА ПРОФЕССИОНАЛЬНОЙ</w:t>
      </w:r>
    </w:p>
    <w:p>
      <w:pPr>
        <w:pStyle w:val="2"/>
        <w:jc w:val="center"/>
      </w:pPr>
      <w:r>
        <w:rPr>
          <w:sz w:val="20"/>
        </w:rPr>
        <w:t xml:space="preserve">ДЕЯТЕЛЬНОСТИ ВЫПУСКНИКОВ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4.1. Область профессиональной деятельности выпускников: организация и ведение технологических процессов сварочного производства; организация деятельности структурного подразделения.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4.2. Объектами профессиональной деятельности выпускников являются: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технологические процессы сварочного производства;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сварочное оборудование и основные сварочные материалы;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техническая, технологическая и нормативная документация;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первичные трудовые коллективы.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4.3. Техник готовится к следующим видам деятельности: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4.3.1. Подготовка и осуществление технологических процессов изготовления сварных конструкций.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4.3.2. Разработка технологических процессов и проектирование изделий.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4.3.3. Контроль качества сварочных работ.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4.3.4. Организация и планирование сварочного производства.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4.3.5. Выполнение работ по одной или нескольким профессиям рабочих, должностям служащих (</w:t>
      </w:r>
      <w:hyperlink w:history="0" w:anchor="P525" w:tooltip="ПЕРЕЧЕНЬ">
        <w:r>
          <w:rPr>
            <w:sz w:val="20"/>
            <w:color w:val="0000ff"/>
          </w:rPr>
          <w:t xml:space="preserve">приложение</w:t>
        </w:r>
      </w:hyperlink>
      <w:r>
        <w:rPr>
          <w:sz w:val="20"/>
        </w:rPr>
        <w:t xml:space="preserve"> к настоящему ФГОС СПО).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4.4. Специалист сварочного производства готовится к следующим видам деятельности: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4.4.1. Подготовка и осуществление технологических процессов изготовления сварных конструкций.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4.4.2. Разработка технологических процессов и проектирование изделий.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4.4.3. Контроль качества сварочных работ.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4.4.4. Организация и планирование сварочного производства.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4.4.5. Выполнение работ по одной или нескольким профессиям рабочих, должностям служащих (</w:t>
      </w:r>
      <w:hyperlink w:history="0" w:anchor="P525" w:tooltip="ПЕРЕЧЕНЬ">
        <w:r>
          <w:rPr>
            <w:sz w:val="20"/>
            <w:color w:val="0000ff"/>
          </w:rPr>
          <w:t xml:space="preserve">приложение</w:t>
        </w:r>
      </w:hyperlink>
      <w:r>
        <w:rPr>
          <w:sz w:val="20"/>
        </w:rPr>
        <w:t xml:space="preserve"> к настоящему ФГОС СПО).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V. ТРЕБОВАНИЯ К РЕЗУЛЬТАТАМ ОСВОЕНИЯ ПРОГРАММЫ ПОДГОТОВКИ</w:t>
      </w:r>
    </w:p>
    <w:p>
      <w:pPr>
        <w:pStyle w:val="2"/>
        <w:jc w:val="center"/>
      </w:pPr>
      <w:r>
        <w:rPr>
          <w:sz w:val="20"/>
        </w:rPr>
        <w:t xml:space="preserve">СПЕЦИАЛИСТОВ СРЕДНЕГО ЗВЕНА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5.1. Техник должен обладать следующими общими компетенциями (далее - ОК):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01. Выбирать способы решения задач профессиональной деятельности применительно к различным контекстам;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04. Эффективно взаимодействовать и работать в коллективе и команде;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09. Пользоваться профессиональной документацией на государственном и иностранном языках.</w:t>
      </w:r>
    </w:p>
    <w:p>
      <w:pPr>
        <w:pStyle w:val="0"/>
        <w:jc w:val="both"/>
      </w:pPr>
      <w:r>
        <w:rPr>
          <w:sz w:val="20"/>
        </w:rPr>
        <w:t xml:space="preserve">(п. 5.1 в ред. </w:t>
      </w:r>
      <w:hyperlink w:history="0" r:id="rId21" w:tooltip="Приказ Минпросвещения России от 01.09.2022 N 796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1.10.2022 N 70461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Минпросвещения России от 01.09.2022 N 796)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5.2. Техник должен обладать профессиональными компетенциями, соответствующими видам деятельности: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5.2.1. Подготовка и осуществление технологических процессов изготовления сварных конструкций.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1.1. Применять различные методы, способы и приемы сборки и сварки конструкций с эксплуатационными свойствами.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1.2. Выполнять техническую подготовку производства сварных конструкций.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1.3. Выбирать оборудование, приспособления и инструменты для обеспечения производства сварных соединений с заданными свойствами.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1.4. Хранить и использовать сварочную аппаратуру и инструменты в ходе производственного процесса.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5.2.2. Разработка технологических процессов и проектирование изделий.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2.1. Выполнять проектирование технологических процессов производства сварных соединений с заданными свойствами.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2.2. Выполнять расчеты и конструирование сварных соединений и конструкций.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2.3. Осуществлять технико-экономическое обоснование выбранного технологического процесса.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2.4. Оформлять конструкторскую, технологическую и техническую документацию.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2.5. Осуществлять разработку и оформление графических, вычислительных и проектных работ с использованием информационно-компьютерных технологий.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5.2.3. Контроль качества сварочных работ.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3.1. Определять причины, приводящие к образованию дефектов в сварных соединениях.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3.2. Обоснованно выбирать и использовать методы, оборудование, аппаратуру и приборы для контроля металлов и сварных соединений.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3.3. Предупреждать, выявлять и устранять дефекты сварных соединений и изделий для получения качественной продукции.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3.4. Оформлять документацию по контролю качества сварки.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5.2.4. Организация и планирование сварочного производства.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4.1. Осуществлять текущее и перспективное планирование производственных работ.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4.2. Производить технологические расчеты на основе нормативов технологических режимов, трудовых и материальных затрат.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4.3. Применять методы и приемы организации труда, эксплуатации оборудования, оснастки, средств механизации для повышения эффективности производства.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4.4. Организовывать ремонт и техническое обслуживание сварочного производства по Единой системе планово-предупредительного ремонта.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4.5. Обеспечивать профилактику и безопасность условий труда на участке сварочных работ.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5.2.5. Выполнение работ по одной или нескольким профессиям рабочих, должностям служащих.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5.3. Специалист сварочного производства должен обладать следующими ОК: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01. Выбирать способы решения задач профессиональной деятельности применительно к различным контекстам;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04. Эффективно взаимодействовать и работать в коллективе и команде;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09. Пользоваться профессиональной документацией на государственном и иностранном языках.</w:t>
      </w:r>
    </w:p>
    <w:p>
      <w:pPr>
        <w:pStyle w:val="0"/>
        <w:jc w:val="both"/>
      </w:pPr>
      <w:r>
        <w:rPr>
          <w:sz w:val="20"/>
        </w:rPr>
        <w:t xml:space="preserve">(п. 5.3 в ред. </w:t>
      </w:r>
      <w:hyperlink w:history="0" r:id="rId22" w:tooltip="Приказ Минпросвещения России от 01.09.2022 N 796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1.10.2022 N 70461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Минпросвещения России от 01.09.2022 N 796)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5.4. Специалист сварочного производства должен обладать профессиональными компетенциями, соответствующими видам деятельности: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5.4.1. Подготовка и осуществление технологических процессов изготовления сварных конструкций.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1.1. Выбирать оптимальный вариант технологии соединения или обработки применительно к конкретной конструкции или материалу.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1.2. Оценивать технологичность свариваемых конструкций, технологические свойства основных и вспомогательных материалов.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1.3. Делать обоснованный выбор специального оборудования для реализации технологического процесса по профилю специальности.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1.4. Выбирать и рассчитывать основные параметры режимов работы соответствующего оборудования.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1.5. Выбирать вид и параметры режимов обработки материала с учетом применяемой технологии.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1.6. Решать типовые технологические задачи в области сварочного производства.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5.4.2. Организация и планирование сварочного производства.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2.1. Осуществлять текущее планирование и организацию производственных работ на сварочном участке.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2.2. Рассчитывать основные технико-экономические показатели деятельности производственного участка.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2.3. Оценивать эффективность производственной деятельности.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2.4. Организовывать ремонт и техническое обслуживание сварочного производства по Единой системе планово-предупредительного ремонта.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2.5. Обеспечивать безопасное выполнение сварочных работ на производственном участке.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2.6. Получать технологическую, техническую и экономическую информацию с использованием современных технических средств для реализации управленческих решений.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5.4.3. Разработка технологических процессов и проектирование изделий.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3.1. Проектировать технологическую оснастку и технологические операции при изготовлении типовых сварных конструкций.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3.2. Производить типовые технические расчеты при проектировании и проверке на прочность элементов механических систем.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3.3. Разрабатывать и оформлять конструкторскую, технологическую и техническую документацию в соответствии с действующими нормативными правовыми актами.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3.4. Использовать информационные технологии для решения прикладных задач по специальности.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3.5. Проводить патентные исследования под руководством квалифицированных специалистов.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5.4.4. Контроль качества сварочных работ.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4.1. Осуществлять технический контроль соответствия качества изделия установленным нормативам.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4.2. Разрабатывать мероприятия по предупреждению дефектов сварных конструкций и выбирать оптимальную технологию их устранения.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4.3. Проводить метрологическую проверку изделий, стандартные и квалификационные испытания объектов техники под руководством квалифицированных специалистов.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4.4. Обоснованно выбирать и использовать методы, оборудование, аппаратуру и приборы для контроля металлов и сварных соединений.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4.5. Оформлять документацию по контролю качества сварки.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5.4.5. Выполнение работ по одной или нескольким профессиям рабочих, должностям служащих.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VI. ТРЕБОВАНИЯ К СТРУКТУРЕ ПРОГРАММЫ ПОДГОТОВКИ</w:t>
      </w:r>
    </w:p>
    <w:p>
      <w:pPr>
        <w:pStyle w:val="2"/>
        <w:jc w:val="center"/>
      </w:pPr>
      <w:r>
        <w:rPr>
          <w:sz w:val="20"/>
        </w:rPr>
        <w:t xml:space="preserve">СПЕЦИАЛИСТОВ СРЕДНЕГО ЗВЕНА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6.1. ППССЗ предусматривает изучение следующих учебных циклов: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общего гуманитарного и социально-экономического;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математического и общего естественнонаучного;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профессионального;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 разделов: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учебная практика;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производственная практика (по профилю специальности);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производственная практика (преддипломная);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промежуточная аттестация;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государственная итоговая аттестация.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6.2. Обязательная часть ППССЗ по учебным циклам должна составлять около 70 процентов от общего объема времени, отведенного на их освоение. Вариативная часть (около 30 процентов) дает возможность расширения и (или) углубления подготовки, определяемой содержанием обязательной части, получения дополнительных компетенций, умений и знаний, необходимых для обеспечения конкурентоспособности выпускника в соответствии с запросами регионального рынка труда и возможностями продолжения образования. Дисциплины, междисциплинарные курсы и профессиональные модули вариативной части определяются образовательной организацией.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Общий гуманитарный и социально-экономический, математический и общий естественнонаучный учебные циклы состоят из дисциплин.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Профессиональный учебный цикл состоит из общепрофессиональных дисциплин и профессиональных модулей в соответствии с видами деятельности. В состав профессионального модуля входит один или несколько междисциплинарных курсов. При освоении обучающимися профессиональных модулей проводятся учебная и (или) производственная практика (по профилю специальности).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6.3. Обязательная часть общего гуманитарного и социально-экономического учебного цикла ППССЗ базовой подготовки должна предусматривать изучение следующих обязательных дисциплин: "Основы философии", "История", "Иностранный язык", "Физическая культура"; углубленной подготовки - "Основы философии", "История", "Психология общения", "Иностранный язык", "Физическая культура".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Обязательная часть профессионального учебного цикла ППССЗ как базовой, так и углубленной подготовки должна предусматривать изучение дисциплины "Безопасность жизнедеятельности". Объем часов на дисциплину "Безопасность жизнедеятельности" составляет 68 часов, из них на освоение основ военной службы - 48 часов.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Обязательная часть математического и общего естественнонаучного учебного цикла ППССЗ базовой подготовки должна предусматривать изучение следующих обязательных дисциплин: "ЕН.01 Математика", "ЕН.02 Информатика", "ЕН.03 Физика".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23" w:tooltip="Приказ Минпросвещения России от 01.09.2022 N 796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1.10.2022 N 70461) {КонсультантПлюс}">
        <w:r>
          <w:rPr>
            <w:sz w:val="20"/>
            <w:color w:val="0000ff"/>
          </w:rPr>
          <w:t xml:space="preserve">Приказом</w:t>
        </w:r>
      </w:hyperlink>
      <w:r>
        <w:rPr>
          <w:sz w:val="20"/>
        </w:rPr>
        <w:t xml:space="preserve"> Минпросвещения России от 01.09.2022 N 796)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Обязательная часть математического и общего естественнонаучного учебного цикла ППССЗ углубленной подготовки должна предусматривать изучение следующих обязательных дисциплин: "ЕН.01 Математика", "ЕН.02 Информатика", "ЕН.03 Физика".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24" w:tooltip="Приказ Минпросвещения России от 01.09.2022 N 796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1.10.2022 N 70461) {КонсультантПлюс}">
        <w:r>
          <w:rPr>
            <w:sz w:val="20"/>
            <w:color w:val="0000ff"/>
          </w:rPr>
          <w:t xml:space="preserve">Приказом</w:t>
        </w:r>
      </w:hyperlink>
      <w:r>
        <w:rPr>
          <w:sz w:val="20"/>
        </w:rPr>
        <w:t xml:space="preserve"> Минпросвещения России от 01.09.2022 N 796)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Обязательная часть общепрофессионального учебного цикла базовой подготовки образовательной программы должна предусматривать изучение следующих дисциплин: "ОП.01. Информационные технологии в профессиональной деятельности", "ОП.02. Правовое обеспечение профессиональной деятельности", "ОП.03. Основы экономики организации", "ОП.04. Менеджмент", "ОП.05. Охрана труда", "ОП.06. Инженерная графика", "ОП.07. Техническая механика", "ОП.08. Материаловедение", "ОП.09. Электротехника и электроника", "ОП.10. Метрология, стандартизация и сертификация", "ОП.11. Безопасность жизнедеятельности".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25" w:tooltip="Приказ Минпросвещения России от 01.09.2022 N 796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1.10.2022 N 70461) {КонсультантПлюс}">
        <w:r>
          <w:rPr>
            <w:sz w:val="20"/>
            <w:color w:val="0000ff"/>
          </w:rPr>
          <w:t xml:space="preserve">Приказом</w:t>
        </w:r>
      </w:hyperlink>
      <w:r>
        <w:rPr>
          <w:sz w:val="20"/>
        </w:rPr>
        <w:t xml:space="preserve"> Минпросвещения России от 01.09.2022 N 796)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Обязательная часть общепрофессионального учебного цикла углубленной подготовки образовательной программы должна предусматривать изучение следующих дисциплин: "ОП.01. Инженерная графика", "ОП.02. Техническая механика", "ОП.03. Материаловедение", "ОП.04. Электротехника и электроника", "ОП.05. Метрология, стандартизация и сертификация", "ОП.06. Охрана труда", "ОП.07. Основы экономики организации", "ОП.08. Менеджмент", "ОП.09. Правовое обеспечение профессиональной деятельности", "ОП.10. Информационные технологии в профессиональной деятельности", "ОП.11. Технологические процессы в машиностроении", "ОП.12 Безопасность жизнедеятельности".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26" w:tooltip="Приказ Минпросвещения России от 01.09.2022 N 796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1.10.2022 N 70461) {КонсультантПлюс}">
        <w:r>
          <w:rPr>
            <w:sz w:val="20"/>
            <w:color w:val="0000ff"/>
          </w:rPr>
          <w:t xml:space="preserve">Приказом</w:t>
        </w:r>
      </w:hyperlink>
      <w:r>
        <w:rPr>
          <w:sz w:val="20"/>
        </w:rPr>
        <w:t xml:space="preserve"> Минпросвещения России от 01.09.2022 N 796)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Обязательная часть профессионального учебного цикла базовой подготовки образовательной программы должна предусматривать изучение следующих профессиональных модулей и междисциплинарных курсов: "ПМ.01 Подготовка и осуществление технологических процессов изготовления сварных конструкций", "МДК.01.01. Технология сварочных работ", "МДК.01.02. Основное оборудование для производства сварных конструкций", "ПМ.02 Разработка технологических процессов и проектирование изделий", "МДК.02.01. Основы расчета и проектирования сварных конструкций", "МДК.02.02. Основы проектирования технологических процессов", "ПМ.03 Контроль качества сварочных работ", "МДК.03.01. Формы и методы контроля качества металлов и сварных конструкций", "ПМ.04 Организация и планирование сварочного производства", "МДК.04.01. Основы организации и планирования производственных работ на сварочном участке", "ПМ.05 Выполнение работ по одной или нескольким профессиям рабочих, должностям служащих".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27" w:tooltip="Приказ Минпросвещения России от 01.09.2022 N 796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1.10.2022 N 70461) {КонсультантПлюс}">
        <w:r>
          <w:rPr>
            <w:sz w:val="20"/>
            <w:color w:val="0000ff"/>
          </w:rPr>
          <w:t xml:space="preserve">Приказом</w:t>
        </w:r>
      </w:hyperlink>
      <w:r>
        <w:rPr>
          <w:sz w:val="20"/>
        </w:rPr>
        <w:t xml:space="preserve"> Минпросвещения России от 01.09.2022 N 796)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Обязательная часть профессионального учебного цикла углубленной подготовки образовательной программы должна предусматривать изучение следующих профессиональных модулей и междисциплинарных курсов: "ПМ.01 Подготовка и осуществление технологических процессов изготовления сварных конструкций", "МДК.01.01. Технологии электрогазосварки и резки металлов", "МДК.01.02. Основное и вспомогательное оборудование для производства сварочных конструкций", "МДК.01.03. Решение типовых технологических задач в области сварочного производства", "ПМ.02 Организация и планирование сварочного производства", "МДК.02.01. Организация и планирование производственных работ на сварочном участке", "ПМ.03 Разработка технологических процессов и проектирование изделий", "МДК.03.01. Проектирование сварных соединений и конструкций", "МДК.03.02. Проектирование технологических процессов при изготовлении конструкций", "МДК.03.03. Решение прикладных профессиональных задач на основе компьютерных технологий", "ПМ.04 Контроль качества сварочных работ", "МДК.04.01. Технологические процессы контроля качества", "МДК.04.02. Методы и средства оценки качества металлов и сварных соединений", "МДК.04.03. Методы профилактики и устранения дефектов сварных соединений", "ПМ.05 Выполнение работ по одной или нескольким профессиям рабочих, должностям служащих".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28" w:tooltip="Приказ Минпросвещения России от 01.09.2022 N 796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1.10.2022 N 70461) {КонсультантПлюс}">
        <w:r>
          <w:rPr>
            <w:sz w:val="20"/>
            <w:color w:val="0000ff"/>
          </w:rPr>
          <w:t xml:space="preserve">Приказом</w:t>
        </w:r>
      </w:hyperlink>
      <w:r>
        <w:rPr>
          <w:sz w:val="20"/>
        </w:rPr>
        <w:t xml:space="preserve"> Минпросвещения России от 01.09.2022 N 796)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6.4. Образовательной организацией при определении структуры ППССЗ и трудоемкости ее освоения может применяться система зачетных единиц, при этом одна зачетная единица соответствует 36 академическим часам.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2"/>
        <w:jc w:val="right"/>
      </w:pPr>
      <w:r>
        <w:rPr>
          <w:sz w:val="20"/>
        </w:rPr>
        <w:t xml:space="preserve">Таблица 3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Структура программы подготовки специалистов среднего звена</w:t>
      </w:r>
    </w:p>
    <w:p>
      <w:pPr>
        <w:pStyle w:val="2"/>
        <w:jc w:val="center"/>
      </w:pPr>
      <w:r>
        <w:rPr>
          <w:sz w:val="20"/>
        </w:rPr>
        <w:t xml:space="preserve">базовой подготовки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109"/>
        <w:gridCol w:w="4248"/>
        <w:gridCol w:w="1901"/>
        <w:gridCol w:w="1718"/>
      </w:tblGrid>
      <w:tr>
        <w:tc>
          <w:tcPr>
            <w:gridSpan w:val="2"/>
            <w:tcW w:w="535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Всего максимальной учебной нагрузки обучающегося (час./нед.)</w:t>
            </w:r>
          </w:p>
        </w:tc>
        <w:tc>
          <w:tcPr>
            <w:tcW w:w="17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 том числе часов обязательных учебных занятий</w:t>
            </w:r>
          </w:p>
        </w:tc>
      </w:tr>
      <w:tr>
        <w:tc>
          <w:tcPr>
            <w:gridSpan w:val="2"/>
            <w:tcW w:w="5357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учебные циклы</w:t>
            </w:r>
          </w:p>
        </w:tc>
        <w:tc>
          <w:tcPr>
            <w:tcW w:w="1901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3186</w:t>
            </w:r>
          </w:p>
        </w:tc>
        <w:tc>
          <w:tcPr>
            <w:tcW w:w="1718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2124</w:t>
            </w:r>
          </w:p>
        </w:tc>
      </w:tr>
      <w:tr>
        <w:tc>
          <w:tcPr>
            <w:tcW w:w="110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ОГСЭ.00</w:t>
            </w:r>
          </w:p>
        </w:tc>
        <w:tc>
          <w:tcPr>
            <w:tcW w:w="4248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Общий гуманитарный и социально-экономический</w:t>
            </w:r>
          </w:p>
        </w:tc>
        <w:tc>
          <w:tcPr>
            <w:tcW w:w="1901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648</w:t>
            </w:r>
          </w:p>
        </w:tc>
        <w:tc>
          <w:tcPr>
            <w:tcW w:w="1718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432</w:t>
            </w:r>
          </w:p>
        </w:tc>
      </w:tr>
      <w:tr>
        <w:tc>
          <w:tcPr>
            <w:tcW w:w="110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ЕН.00</w:t>
            </w:r>
          </w:p>
        </w:tc>
        <w:tc>
          <w:tcPr>
            <w:tcW w:w="4248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Математический и общий естественнонаучный</w:t>
            </w:r>
          </w:p>
        </w:tc>
        <w:tc>
          <w:tcPr>
            <w:tcW w:w="1901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324</w:t>
            </w:r>
          </w:p>
        </w:tc>
        <w:tc>
          <w:tcPr>
            <w:tcW w:w="1718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216</w:t>
            </w:r>
          </w:p>
        </w:tc>
      </w:tr>
      <w:tr>
        <w:tc>
          <w:tcPr>
            <w:tcW w:w="110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П.00</w:t>
            </w:r>
          </w:p>
        </w:tc>
        <w:tc>
          <w:tcPr>
            <w:tcW w:w="4248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Профессиональный, в том числе:</w:t>
            </w:r>
          </w:p>
        </w:tc>
        <w:tc>
          <w:tcPr>
            <w:tcW w:w="1901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2214</w:t>
            </w:r>
          </w:p>
        </w:tc>
        <w:tc>
          <w:tcPr>
            <w:tcW w:w="1718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1476</w:t>
            </w:r>
          </w:p>
        </w:tc>
      </w:tr>
      <w:tr>
        <w:tc>
          <w:tcPr>
            <w:tcW w:w="110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ОП.00</w:t>
            </w:r>
          </w:p>
        </w:tc>
        <w:tc>
          <w:tcPr>
            <w:tcW w:w="4248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общепрофессиональные дисциплины</w:t>
            </w:r>
          </w:p>
        </w:tc>
        <w:tc>
          <w:tcPr>
            <w:tcW w:w="1901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582</w:t>
            </w:r>
          </w:p>
        </w:tc>
        <w:tc>
          <w:tcPr>
            <w:tcW w:w="1718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388</w:t>
            </w:r>
          </w:p>
        </w:tc>
      </w:tr>
      <w:tr>
        <w:tc>
          <w:tcPr>
            <w:tcW w:w="110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ПМ.00</w:t>
            </w:r>
          </w:p>
        </w:tc>
        <w:tc>
          <w:tcPr>
            <w:tcW w:w="4248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профессиональные модули</w:t>
            </w:r>
          </w:p>
        </w:tc>
        <w:tc>
          <w:tcPr>
            <w:tcW w:w="1901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1632</w:t>
            </w:r>
          </w:p>
        </w:tc>
        <w:tc>
          <w:tcPr>
            <w:tcW w:w="1718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1088</w:t>
            </w:r>
          </w:p>
        </w:tc>
      </w:tr>
      <w:tr>
        <w:tc>
          <w:tcPr>
            <w:gridSpan w:val="2"/>
            <w:tcW w:w="5357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 разделы</w:t>
            </w:r>
          </w:p>
        </w:tc>
        <w:tc>
          <w:tcPr>
            <w:tcW w:w="190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1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0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248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вариативная часть</w:t>
            </w:r>
          </w:p>
        </w:tc>
        <w:tc>
          <w:tcPr>
            <w:tcW w:w="1901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1350</w:t>
            </w:r>
          </w:p>
        </w:tc>
        <w:tc>
          <w:tcPr>
            <w:tcW w:w="1718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900</w:t>
            </w:r>
          </w:p>
        </w:tc>
      </w:tr>
      <w:tr>
        <w:tc>
          <w:tcPr>
            <w:tcW w:w="110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248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итого по обязательной части ППССЗ</w:t>
            </w:r>
          </w:p>
        </w:tc>
        <w:tc>
          <w:tcPr>
            <w:tcW w:w="1901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4536</w:t>
            </w:r>
          </w:p>
        </w:tc>
        <w:tc>
          <w:tcPr>
            <w:tcW w:w="1718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3024</w:t>
            </w:r>
          </w:p>
        </w:tc>
      </w:tr>
      <w:tr>
        <w:tc>
          <w:tcPr>
            <w:tcW w:w="1109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УП.00</w:t>
            </w:r>
          </w:p>
        </w:tc>
        <w:tc>
          <w:tcPr>
            <w:tcW w:w="4248" w:type="dxa"/>
            <w:vMerge w:val="restart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учебная и производственная практики</w:t>
            </w:r>
          </w:p>
        </w:tc>
        <w:tc>
          <w:tcPr>
            <w:tcW w:w="1901" w:type="dxa"/>
            <w:vMerge w:val="restart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25 нед.</w:t>
            </w:r>
          </w:p>
        </w:tc>
        <w:tc>
          <w:tcPr>
            <w:tcW w:w="1718" w:type="dxa"/>
            <w:vMerge w:val="restart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900</w:t>
            </w:r>
          </w:p>
        </w:tc>
      </w:tr>
      <w:tr>
        <w:tc>
          <w:tcPr>
            <w:tcW w:w="1109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ПП.00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110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ПДП.00</w:t>
            </w:r>
          </w:p>
        </w:tc>
        <w:tc>
          <w:tcPr>
            <w:tcW w:w="4248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производственная практика (преддипломная)</w:t>
            </w:r>
          </w:p>
        </w:tc>
        <w:tc>
          <w:tcPr>
            <w:tcW w:w="1901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4 нед.</w:t>
            </w:r>
          </w:p>
        </w:tc>
        <w:tc>
          <w:tcPr>
            <w:tcW w:w="1718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144</w:t>
            </w:r>
          </w:p>
        </w:tc>
      </w:tr>
      <w:tr>
        <w:tc>
          <w:tcPr>
            <w:tcW w:w="110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ПА.00</w:t>
            </w:r>
          </w:p>
        </w:tc>
        <w:tc>
          <w:tcPr>
            <w:tcW w:w="4248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промежуточная аттестация</w:t>
            </w:r>
          </w:p>
        </w:tc>
        <w:tc>
          <w:tcPr>
            <w:tcW w:w="1901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5 нед.</w:t>
            </w:r>
          </w:p>
        </w:tc>
        <w:tc>
          <w:tcPr>
            <w:tcW w:w="1718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180</w:t>
            </w:r>
          </w:p>
        </w:tc>
      </w:tr>
      <w:tr>
        <w:tc>
          <w:tcPr>
            <w:tcW w:w="110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ГИА.00</w:t>
            </w:r>
          </w:p>
        </w:tc>
        <w:tc>
          <w:tcPr>
            <w:tcW w:w="4248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государственная итоговая аттестация</w:t>
            </w:r>
          </w:p>
        </w:tc>
        <w:tc>
          <w:tcPr>
            <w:tcW w:w="1901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6 нед.</w:t>
            </w:r>
          </w:p>
        </w:tc>
        <w:tc>
          <w:tcPr>
            <w:tcW w:w="1718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216</w:t>
            </w:r>
          </w:p>
        </w:tc>
      </w:tr>
      <w:tr>
        <w:tc>
          <w:tcPr>
            <w:gridSpan w:val="2"/>
            <w:tcW w:w="5357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Общий объем образовательной программы:</w:t>
            </w:r>
          </w:p>
        </w:tc>
        <w:tc>
          <w:tcPr>
            <w:tcW w:w="190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1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0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248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на базе среднего общего образования</w:t>
            </w:r>
          </w:p>
        </w:tc>
        <w:tc>
          <w:tcPr>
            <w:tcW w:w="1901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124 нед.</w:t>
            </w:r>
          </w:p>
        </w:tc>
        <w:tc>
          <w:tcPr>
            <w:tcW w:w="1718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4464</w:t>
            </w:r>
          </w:p>
        </w:tc>
      </w:tr>
      <w:tr>
        <w:tc>
          <w:tcPr>
            <w:tcW w:w="110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248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на базе основного общего образования, включая получение среднего общего образования на основе требований федерального государственного образовательного стандарта среднего общего образования</w:t>
            </w:r>
          </w:p>
        </w:tc>
        <w:tc>
          <w:tcPr>
            <w:tcW w:w="1901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165 нед.</w:t>
            </w:r>
          </w:p>
        </w:tc>
        <w:tc>
          <w:tcPr>
            <w:tcW w:w="1718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5940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2"/>
        <w:jc w:val="right"/>
      </w:pPr>
      <w:r>
        <w:rPr>
          <w:sz w:val="20"/>
        </w:rPr>
        <w:t xml:space="preserve">Таблица 4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Структура программы подготовки специалистов среднего звена</w:t>
      </w:r>
    </w:p>
    <w:p>
      <w:pPr>
        <w:pStyle w:val="2"/>
        <w:jc w:val="center"/>
      </w:pPr>
      <w:r>
        <w:rPr>
          <w:sz w:val="20"/>
        </w:rPr>
        <w:t xml:space="preserve">углубленной подготовки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109"/>
        <w:gridCol w:w="4248"/>
        <w:gridCol w:w="1901"/>
        <w:gridCol w:w="1718"/>
      </w:tblGrid>
      <w:tr>
        <w:tc>
          <w:tcPr>
            <w:gridSpan w:val="2"/>
            <w:tcW w:w="535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Всего максимальной учебной нагрузки обучающегося (час./нед.)</w:t>
            </w:r>
          </w:p>
        </w:tc>
        <w:tc>
          <w:tcPr>
            <w:tcW w:w="17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 том числе часов обязательных учебных - занятий</w:t>
            </w:r>
          </w:p>
        </w:tc>
      </w:tr>
      <w:tr>
        <w:tc>
          <w:tcPr>
            <w:gridSpan w:val="2"/>
            <w:tcW w:w="5357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учебные циклы</w:t>
            </w:r>
          </w:p>
        </w:tc>
        <w:tc>
          <w:tcPr>
            <w:tcW w:w="1901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4482</w:t>
            </w:r>
          </w:p>
        </w:tc>
        <w:tc>
          <w:tcPr>
            <w:tcW w:w="1718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2988</w:t>
            </w:r>
          </w:p>
        </w:tc>
      </w:tr>
      <w:tr>
        <w:tc>
          <w:tcPr>
            <w:tcW w:w="110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ОГСЭ.00</w:t>
            </w:r>
          </w:p>
        </w:tc>
        <w:tc>
          <w:tcPr>
            <w:tcW w:w="4248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Общий гуманитарный и социально-экономический</w:t>
            </w:r>
          </w:p>
        </w:tc>
        <w:tc>
          <w:tcPr>
            <w:tcW w:w="1901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924</w:t>
            </w:r>
          </w:p>
        </w:tc>
        <w:tc>
          <w:tcPr>
            <w:tcW w:w="1718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616</w:t>
            </w:r>
          </w:p>
        </w:tc>
      </w:tr>
      <w:tr>
        <w:tc>
          <w:tcPr>
            <w:tcW w:w="110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ЕН.00</w:t>
            </w:r>
          </w:p>
        </w:tc>
        <w:tc>
          <w:tcPr>
            <w:tcW w:w="4248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Математический и общий естественнонаучный</w:t>
            </w:r>
          </w:p>
        </w:tc>
        <w:tc>
          <w:tcPr>
            <w:tcW w:w="1901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414</w:t>
            </w:r>
          </w:p>
        </w:tc>
        <w:tc>
          <w:tcPr>
            <w:tcW w:w="1718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276</w:t>
            </w:r>
          </w:p>
        </w:tc>
      </w:tr>
      <w:tr>
        <w:tc>
          <w:tcPr>
            <w:tcW w:w="110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П.00</w:t>
            </w:r>
          </w:p>
        </w:tc>
        <w:tc>
          <w:tcPr>
            <w:tcW w:w="4248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Профессиональный, в том числе:</w:t>
            </w:r>
          </w:p>
        </w:tc>
        <w:tc>
          <w:tcPr>
            <w:tcW w:w="1901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3144</w:t>
            </w:r>
          </w:p>
        </w:tc>
        <w:tc>
          <w:tcPr>
            <w:tcW w:w="1718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2096</w:t>
            </w:r>
          </w:p>
        </w:tc>
      </w:tr>
      <w:tr>
        <w:tc>
          <w:tcPr>
            <w:tcW w:w="110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ОП.00</w:t>
            </w:r>
          </w:p>
        </w:tc>
        <w:tc>
          <w:tcPr>
            <w:tcW w:w="4248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общепрофессиональные дисциплины</w:t>
            </w:r>
          </w:p>
        </w:tc>
        <w:tc>
          <w:tcPr>
            <w:tcW w:w="1901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630</w:t>
            </w:r>
          </w:p>
        </w:tc>
        <w:tc>
          <w:tcPr>
            <w:tcW w:w="1718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420</w:t>
            </w:r>
          </w:p>
        </w:tc>
      </w:tr>
      <w:tr>
        <w:tc>
          <w:tcPr>
            <w:tcW w:w="110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ПМ.00</w:t>
            </w:r>
          </w:p>
        </w:tc>
        <w:tc>
          <w:tcPr>
            <w:tcW w:w="4248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профессиональные модули</w:t>
            </w:r>
          </w:p>
        </w:tc>
        <w:tc>
          <w:tcPr>
            <w:tcW w:w="1901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2514</w:t>
            </w:r>
          </w:p>
        </w:tc>
        <w:tc>
          <w:tcPr>
            <w:tcW w:w="1718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1676</w:t>
            </w:r>
          </w:p>
        </w:tc>
      </w:tr>
      <w:tr>
        <w:tc>
          <w:tcPr>
            <w:gridSpan w:val="2"/>
            <w:tcW w:w="5357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 разделы</w:t>
            </w:r>
          </w:p>
        </w:tc>
        <w:tc>
          <w:tcPr>
            <w:tcW w:w="190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1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0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248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вариативная часть</w:t>
            </w:r>
          </w:p>
        </w:tc>
        <w:tc>
          <w:tcPr>
            <w:tcW w:w="1901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1890</w:t>
            </w:r>
          </w:p>
        </w:tc>
        <w:tc>
          <w:tcPr>
            <w:tcW w:w="1718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1260</w:t>
            </w:r>
          </w:p>
        </w:tc>
      </w:tr>
      <w:tr>
        <w:tc>
          <w:tcPr>
            <w:tcW w:w="110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248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итого по обязательной части ППССЗ</w:t>
            </w:r>
          </w:p>
        </w:tc>
        <w:tc>
          <w:tcPr>
            <w:tcW w:w="1901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6372</w:t>
            </w:r>
          </w:p>
        </w:tc>
        <w:tc>
          <w:tcPr>
            <w:tcW w:w="1718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4248</w:t>
            </w:r>
          </w:p>
        </w:tc>
      </w:tr>
      <w:tr>
        <w:tc>
          <w:tcPr>
            <w:tcW w:w="1109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УП.00</w:t>
            </w:r>
          </w:p>
        </w:tc>
        <w:tc>
          <w:tcPr>
            <w:tcW w:w="4248" w:type="dxa"/>
            <w:vMerge w:val="restart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учебная и производственная практики</w:t>
            </w:r>
          </w:p>
        </w:tc>
        <w:tc>
          <w:tcPr>
            <w:tcW w:w="1901" w:type="dxa"/>
            <w:vMerge w:val="restart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30 нед.</w:t>
            </w:r>
          </w:p>
        </w:tc>
        <w:tc>
          <w:tcPr>
            <w:tcW w:w="1718" w:type="dxa"/>
            <w:vMerge w:val="restart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1080</w:t>
            </w:r>
          </w:p>
        </w:tc>
      </w:tr>
      <w:tr>
        <w:tc>
          <w:tcPr>
            <w:tcW w:w="1109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ПП.00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110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ПДП.00</w:t>
            </w:r>
          </w:p>
        </w:tc>
        <w:tc>
          <w:tcPr>
            <w:tcW w:w="4248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производственная практика (преддипломная)</w:t>
            </w:r>
          </w:p>
        </w:tc>
        <w:tc>
          <w:tcPr>
            <w:tcW w:w="1901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4 нед.</w:t>
            </w:r>
          </w:p>
        </w:tc>
        <w:tc>
          <w:tcPr>
            <w:tcW w:w="1718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144</w:t>
            </w:r>
          </w:p>
        </w:tc>
      </w:tr>
      <w:tr>
        <w:tc>
          <w:tcPr>
            <w:tcW w:w="110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ПА.00</w:t>
            </w:r>
          </w:p>
        </w:tc>
        <w:tc>
          <w:tcPr>
            <w:tcW w:w="4248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промежуточная аттестация</w:t>
            </w:r>
          </w:p>
        </w:tc>
        <w:tc>
          <w:tcPr>
            <w:tcW w:w="1901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7 нед.</w:t>
            </w:r>
          </w:p>
        </w:tc>
        <w:tc>
          <w:tcPr>
            <w:tcW w:w="1718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252</w:t>
            </w:r>
          </w:p>
        </w:tc>
      </w:tr>
      <w:tr>
        <w:tc>
          <w:tcPr>
            <w:tcW w:w="110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ГИА.00</w:t>
            </w:r>
          </w:p>
        </w:tc>
        <w:tc>
          <w:tcPr>
            <w:tcW w:w="4248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государственная итоговая аттестация</w:t>
            </w:r>
          </w:p>
        </w:tc>
        <w:tc>
          <w:tcPr>
            <w:tcW w:w="1901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6 нед.</w:t>
            </w:r>
          </w:p>
        </w:tc>
        <w:tc>
          <w:tcPr>
            <w:tcW w:w="1718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216</w:t>
            </w:r>
          </w:p>
        </w:tc>
      </w:tr>
      <w:tr>
        <w:tc>
          <w:tcPr>
            <w:gridSpan w:val="2"/>
            <w:tcW w:w="5357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Общий объем образовательной программы:</w:t>
            </w:r>
          </w:p>
        </w:tc>
        <w:tc>
          <w:tcPr>
            <w:tcW w:w="190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1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0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248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на базе среднего общего образования</w:t>
            </w:r>
          </w:p>
        </w:tc>
        <w:tc>
          <w:tcPr>
            <w:tcW w:w="1901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165 нед.</w:t>
            </w:r>
          </w:p>
        </w:tc>
        <w:tc>
          <w:tcPr>
            <w:tcW w:w="1718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5940</w:t>
            </w:r>
          </w:p>
        </w:tc>
      </w:tr>
      <w:tr>
        <w:tc>
          <w:tcPr>
            <w:tcW w:w="110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248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на базе основного общего образования, включая получение среднего общего образования на основе требований федерального государственного образовательного стандарта среднего общего образования</w:t>
            </w:r>
          </w:p>
        </w:tc>
        <w:tc>
          <w:tcPr>
            <w:tcW w:w="1901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206 нед.</w:t>
            </w:r>
          </w:p>
        </w:tc>
        <w:tc>
          <w:tcPr>
            <w:tcW w:w="1718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7416</w:t>
            </w:r>
          </w:p>
        </w:tc>
      </w:tr>
    </w:tbl>
    <w:p>
      <w:pPr>
        <w:pStyle w:val="0"/>
        <w:jc w:val="both"/>
      </w:pPr>
      <w:r>
        <w:rPr>
          <w:sz w:val="20"/>
        </w:rPr>
        <w:t xml:space="preserve">(п. 6.4 в ред. </w:t>
      </w:r>
      <w:hyperlink w:history="0" r:id="rId29" w:tooltip="Приказ Минпросвещения России от 01.09.2022 N 796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1.10.2022 N 70461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Минпросвещения России от 01.09.2022 N 796)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VII. ТРЕБОВАНИЯ К УСЛОВИЯМ РЕАЛИЗАЦИИ ПРОГРАММЫ ПОДГОТОВКИ</w:t>
      </w:r>
    </w:p>
    <w:p>
      <w:pPr>
        <w:pStyle w:val="2"/>
        <w:jc w:val="center"/>
      </w:pPr>
      <w:r>
        <w:rPr>
          <w:sz w:val="20"/>
        </w:rPr>
        <w:t xml:space="preserve">СПЕЦИАЛИСТОВ СРЕДНЕГО ЗВЕНА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7.1. Образовательная организация самостоятельно разрабатывает и утверждает ППССЗ в соответствии с настоящим ФГОС СПО и с учетом соответствующей примерной ППССЗ.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Перед началом разработки ППССЗ образовательная организация должна определить ее специфику с учетом направленности на удовлетворение потребностей рынка труда и работодателей, конкретизировать конечные результаты обучения в виде компетенций, умений и знаний, приобретаемого практического опыта.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Конкретные виды деятельности, к которым готовится обучающийся, должны соответствовать присваиваемой квалификации, определять содержание образовательной программы, разрабатываемой образовательной организацией совместно с заинтересованными работодателями.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формировании ППССЗ образовательная организация: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имеет право использовать объем времени, отведенный на вариативную часть учебных циклов ППССЗ, увеличивая при этом объем времени, отведенный на дисциплины и модули обязательной части, на практики, и (или) вводя новые дисциплины и модули в соответствии с потребностями работодателей и спецификой деятельности образовательной организации;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имеет право определять для освоения обучающимися в рамках профессионального модуля профессию рабочего, должность служащего (одну или несколько) согласно </w:t>
      </w:r>
      <w:hyperlink w:history="0" w:anchor="P525" w:tooltip="ПЕРЕЧЕНЬ">
        <w:r>
          <w:rPr>
            <w:sz w:val="20"/>
            <w:color w:val="0000ff"/>
          </w:rPr>
          <w:t xml:space="preserve">приложению</w:t>
        </w:r>
      </w:hyperlink>
      <w:r>
        <w:rPr>
          <w:sz w:val="20"/>
        </w:rPr>
        <w:t xml:space="preserve"> к настоящему ФГОС СПО;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обязана ежегодно обновлять ППССЗ с учетом запросов работодателей, особенностей развития региона, науки, культуры, экономики, техники, технологий и социальной сферы в рамках, установленных настоящим ФГОС СПО;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обязана в рабочих учебных программах всех дисциплин и профессиональных модулей четко формулировать требования к результатам их освоения: компетенциям, приобретаемому практическому опыту, знаниям и умениям;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обязана обеспечивать эффективную самостоятельную работу обучающихся в сочетании с совершенствованием управления ею со стороны преподавателей и мастеров производственного обучения;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обязана обеспечить обучающимся возможность участвовать в формировании индивидуальной образовательной программы;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обязана сформировать социокультурную среду, создавать условия, необходимые для всестороннего развития и социализации личности, сохранения здоровья обучающихся, способствовать развитию воспитательного компонента образовательного процесса, включая развитие студенческого самоуправления, участие обучающихся в работе общественных организаций, спортивных и творческих клубах;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должна предусматривать в целях реализации компетентностного подхода использование в образовательном процессе активных и интерактивных форм проведения занятий (компьютерных симуляций, деловых и ролевых игр, разбора конкретных ситуаций, психологических и иных тренингов, групповых дискуссий) в сочетании с внеаудиторной работой для формирования и развития общих и профессиональных компетенций обучающихся.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7.2. При реализации ППССЗ обучающиеся имеют академические права и обязанности в соответствии с Федеральным </w:t>
      </w:r>
      <w:hyperlink w:history="0" r:id="rId30" w:tooltip="Федеральный закон от 29.12.2012 N 273-ФЗ (ред. от 05.12.2022) &quot;Об образовании в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29 декабря 2012 г. N 273-ФЗ "Об образовании в Российской Федерации" &lt;6&gt;.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31" w:tooltip="Приказ Минпросвещения России от 01.09.2022 N 796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1.10.2022 N 70461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Минобрнауки России от 09.04.2015 N 389)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hyperlink w:history="0" r:id="rId32" w:tooltip="Приказ Минпросвещения России от 01.09.2022 N 796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1.10.2022 N 70461) {КонсультантПлюс}">
        <w:r>
          <w:rPr>
            <w:sz w:val="20"/>
            <w:color w:val="0000ff"/>
          </w:rPr>
          <w:t xml:space="preserve">&lt;6&gt;</w:t>
        </w:r>
      </w:hyperlink>
      <w:r>
        <w:rPr>
          <w:sz w:val="20"/>
        </w:rPr>
        <w:t xml:space="preserve"> Собрание законодательства Российской Федерации, 2012, N 53, ст. 7598; 2013, N 19, ст. 2326; N 23, ст. 2878; N 27, ст. 3462; N 30, ст. 4036; N 48, ст. 6165; 2014, N 6, ст. 562, ст. 566.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7.3. Максимальный объем учебной нагрузки обучающегося составляет 54 академических часа в неделю, включая все виды аудиторной и внеаудиторной учебной нагрузки.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7.4. Максимальный объем аудиторной учебной нагрузки в очной форме обучения составляет 36 академических часов в неделю.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7.5. Максимальный объем аудиторной учебной нагрузки в очно-заочной форме обучения составляет 16 академических часов в неделю.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7.5.1. Максимальный объем аудиторной учебной нагрузки в год в заочной форме обучения составляет 160 академических часов.</w:t>
      </w:r>
    </w:p>
    <w:p>
      <w:pPr>
        <w:pStyle w:val="0"/>
        <w:jc w:val="both"/>
      </w:pPr>
      <w:r>
        <w:rPr>
          <w:sz w:val="20"/>
        </w:rPr>
        <w:t xml:space="preserve">(п. 7.5.1 введен </w:t>
      </w:r>
      <w:hyperlink w:history="0" r:id="rId33" w:tooltip="Приказ Минобрнауки России от 09.04.2015 N 389 (ред. от 03.12.2019)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08.05.2015 N 37216) {КонсультантПлюс}">
        <w:r>
          <w:rPr>
            <w:sz w:val="20"/>
            <w:color w:val="0000ff"/>
          </w:rPr>
          <w:t xml:space="preserve">Приказом</w:t>
        </w:r>
      </w:hyperlink>
      <w:r>
        <w:rPr>
          <w:sz w:val="20"/>
        </w:rPr>
        <w:t xml:space="preserve"> Минобрнауки России от 09.04.2015 N 389)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7.6. Общая продолжительность каникул в учебном году должна составлять 8 - 11 недель, в том числе не менее 2-х недель в зимний период.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7.7. Выполнение курсового проекта (работы) рассматривается как вид учебной деятельности по дисциплине (дисциплинам) профессионального учебного цикла и (или) профессиональному модулю (модулям) профессионального учебного цикла и реализуется в пределах времени, отведенного на ее (их) изучение.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7.8. Дисциплина "Физическая культура" предусматривает еженедельно 2 часа обязательных аудиторных занятий и 2 часа самостоятельной работы (за счет различных форм внеаудиторных занятий в спортивных клубах, секциях).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7.9. Образовательная организация имеет право для подгрупп девушек использовать часть учебного времени дисциплины "Безопасность жизнедеятельности" (48 часов), отведенного на изучение основ военной службы, на освоение основ медицинских знаний.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7.10. Получение СПО на базе основного общего образования осуществляется с одновременным получением среднего общего образования в пределах ППССЗ. В этом случае ППССЗ, реализуемая на базе основного общего образования, разрабатывается на основе требований соответствующих федеральных государственных образовательных стандартов среднего общего образования и СПО с учетом получаемой специальности СПО.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Срок освоения ППССЗ в очной форме обучения для лиц, обучающихся на базе основного общего образования, увеличивается на 52 недели из расчета:</w:t>
      </w:r>
    </w:p>
    <w:p>
      <w:pPr>
        <w:pStyle w:val="0"/>
        <w:ind w:firstLine="54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8011"/>
        <w:gridCol w:w="1628"/>
      </w:tblGrid>
      <w:tr>
        <w:tc>
          <w:tcPr>
            <w:tcW w:w="80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теоретическое обучение (при обязательной учебной нагрузке 36 часов в неделю)</w:t>
            </w:r>
          </w:p>
        </w:tc>
        <w:tc>
          <w:tcPr>
            <w:tcW w:w="1628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39 нед.</w:t>
            </w:r>
          </w:p>
        </w:tc>
      </w:tr>
      <w:tr>
        <w:tc>
          <w:tcPr>
            <w:tcW w:w="80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промежуточная аттестация</w:t>
            </w:r>
          </w:p>
        </w:tc>
        <w:tc>
          <w:tcPr>
            <w:tcW w:w="1628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2 нед.</w:t>
            </w:r>
          </w:p>
        </w:tc>
      </w:tr>
      <w:tr>
        <w:tc>
          <w:tcPr>
            <w:tcW w:w="80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каникулы</w:t>
            </w:r>
          </w:p>
        </w:tc>
        <w:tc>
          <w:tcPr>
            <w:tcW w:w="1628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11 нед.</w:t>
            </w:r>
          </w:p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7.11. Консультации для обучающихся по очной и очно-заочной формам обучения предусматриваются образовательной организацией из расчета 4 часа на одного обучающегося на каждый учебный год, в том числе в период реализации образовательной программы среднего общего образования для лиц, обучающихся на базе основного общего образования. Формы проведения консультаций (групповые, индивидуальные, письменные, устные) определяются образовательной организацией.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7.12. В период обучения с юношами проводятся учебные сборы &lt;7&gt;.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34" w:tooltip="Приказ Минпросвещения России от 01.09.2022 N 796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1.10.2022 N 70461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Минобрнауки России от 09.04.2015 N 389)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hyperlink w:history="0" r:id="rId35" w:tooltip="Приказ Минпросвещения России от 01.09.2022 N 796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1.10.2022 N 70461) {КонсультантПлюс}">
        <w:r>
          <w:rPr>
            <w:sz w:val="20"/>
            <w:color w:val="0000ff"/>
          </w:rPr>
          <w:t xml:space="preserve">&lt;7&gt;</w:t>
        </w:r>
      </w:hyperlink>
      <w:r>
        <w:rPr>
          <w:sz w:val="20"/>
        </w:rPr>
        <w:t xml:space="preserve"> </w:t>
      </w:r>
      <w:hyperlink w:history="0" r:id="rId36" w:tooltip="Федеральный закон от 28.03.1998 N 53-ФЗ (ред. от 24.09.2022) &quot;О воинской обязанности и военной службе&quot; (с изм. и доп., вступ. в силу с 13.10.2022) {КонсультантПлюс}">
        <w:r>
          <w:rPr>
            <w:sz w:val="20"/>
            <w:color w:val="0000ff"/>
          </w:rPr>
          <w:t xml:space="preserve">Пункт 1 статьи 13</w:t>
        </w:r>
      </w:hyperlink>
      <w:r>
        <w:rPr>
          <w:sz w:val="20"/>
        </w:rPr>
        <w:t xml:space="preserve"> Федерального закона от 28 марта 1998 г. N 53-ФЗ "О воинской обязанности и военной службе" (Собрание законодательства Российской Федерации, 1998, N 13, ст. 1475; N 30, ст. 3613; 2000, N 33, ст. 3348; N 46, ст. 4537; 2001, N 7, ст. 620, ст. 621; N 30, ст. 3061; 2002, N 7, ст. 631; N 21, ст. 1919; N 26, ст. 2521; N 30, ст. 3029, ст. 3030, ст. 3033; 2003, N 1, ст. 1; N 8, ст. 709; N 27, ст. 2700; N 46, ст. 4437; 2004, N 8, ст. 600; N 17, ст. 1587; N 18, ст. 1687; N 25, ст. 2484; N 27, ст. 2711; N 35, ст. 3607; N 49, ст. 4848; 2005, N 10, ст. 763; N 14, ст. 1212; N 27, ст. 2716; N 29, ст. 2907; N 30, ст. 3110, ст. 3111; N 40, ст. 3987; N 43, ст. 4349; N 49, ст. 5127; 2006, N 1, ст. 10, ст. 22; N 11, ст. 1148; N 19, ст. 2062; N 28, ст. 2974; N 29, ст. 3121, ст. 3122, ст. 3123; N 41, ст. 4206; N 44, ст. 4534; N 50, ст. 5281; 2007, N 2, ст. 362; N 16, ст. 1830: N 31, ст. 4011; N 45, ст. 5418; N 49, ст. 6070, ст. 6074; N 50, ст. 6241; 2008, N 30, ст. 3616: N 49, ст. 5746; N 52, ст. 6235; 2009, N 7, ст. 769; N 18, ст. 2149; N 23, ст. 2765; N 26, ст. 3124; N 48, ст. 5735, ст. 5736; N 51, ст. 6149; N 52, ст. 6404; 2010, N 11, ст. 1167, ст. 1176, ст. 1177; N 31, ст. 4192; N 49, ст. 6415; 2011, N 1, ст. 16; N 27, ст. 3878; N 30, ст. 4589; N 48, ст. 6730; N 49, ст. 7021, ст. 7053, ст. 7054; N 50, ст. 7366: 2012, N 50, ст. 6954; N 53, ст. 7613; 2013, N 9, ст. 870; N 19, ст. 2329, ст. 2331: N 23, ст. 2869; N 27, ст. 3462, ст. 3477; N 48, ст. 6165).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7.13. 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ППССЗ предусматриваются следующие виды практик: учебная и производственная.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Производственная практика состоит из двух этапов: практики по профилю специальности и преддипломной практики.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Учебная практика и производственная практика (по профилю специальности) проводятся образовательной организацией при освоении обучающимися профессиональных компетенций в рамках профессиональных модулей и могут реализовываться как концентрированно в несколько периодов, так и рассредоточенно, чередуясь с теоретическими занятиями в рамках профессиональных модулей.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Цели и задачи, программы и формы отчетности определяются образовательной организацией по каждому виду практики.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Производственная практика должна проводиться в организациях, направление деятельности которых соответствует профилю подготовки обучающихся.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7.14. 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7.15. ППССЗ должна обеспечиваться учебно-методической документацией по всем дисциплинам, междисциплинарным курсам и профессиональным модулям ППССЗ.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Внеаудиторная работа должна сопровождаться методическим обеспечением и обоснованием расчета времени, затрачиваемого на ее выполнение.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Реализация ППССЗ должна обеспечиваться доступом каждого обучающегося к базам данных и библиотечным фондам, формируемым по полному перечню дисциплин (модулей) ППССЗ. Во время самостоятельной подготовки обучающиеся должны быть обеспечены доступом к сети Интернет.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Каждый обучающийся должен быть обеспечен не менее чем одним учебным печатным и (или) электронным изданием по каждой дисциплине профессионального учебного цикла и одним учебно-методическим печатным и (или) электронным изданием по каждому междисциплинарному курсу (включая электронные базы периодических изданий).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Библиотечный фонд должен быть укомплектован печатными и (или) электронными изданиями основной и дополнительной учебной литературы по дисциплинам всех учебных циклов, изданной за последние 5 лет.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Библиотечный фонд, помимо учебной литературы, должен включать официальные, справочно-библиографические и периодические издания в расчете 1 - 2 экземпляра на каждые 100 обучающихся.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Каждому обучающемуся должен быть обеспечен доступ к комплектам библиотечного фонда, состоящего не менее чем из 5 наименований российских журналов.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Образовательная организация должна предоставить обучающимся возможность оперативного обмена информацией с российскими образовательными организациями и доступ к современным профессиональным базам данных и информационным ресурсам сети Интернет.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7.16. Требование к финансовым условиям реализации образовательной программы: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финансовое обеспечение реализации образовательной программы должно осуществляться в объеме не ниже определенного в соответствии с бюджетным законодательством Российской Федерации &lt;8&gt; и Федеральным </w:t>
      </w:r>
      <w:hyperlink w:history="0" r:id="rId37" w:tooltip="Федеральный закон от 29.12.2012 N 273-ФЗ (ред. от 05.12.2022) &quot;Об образовании в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29 декабря 2012 г. N 273-ФЗ "Об образовании в Российской Федерации" &lt;9&gt;.</w:t>
      </w:r>
    </w:p>
    <w:p>
      <w:pPr>
        <w:pStyle w:val="0"/>
        <w:jc w:val="both"/>
      </w:pPr>
      <w:r>
        <w:rPr>
          <w:sz w:val="20"/>
        </w:rPr>
        <w:t xml:space="preserve">(п. 7.16 в ред. </w:t>
      </w:r>
      <w:hyperlink w:history="0" r:id="rId38" w:tooltip="Приказ Минпросвещения России от 01.09.2022 N 796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1.10.2022 N 70461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Минпросвещения России от 01.09.2022 N 796)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&lt;8&gt; Бюджетный </w:t>
      </w:r>
      <w:hyperlink w:history="0" r:id="rId39" w:tooltip="&quot;Бюджетный кодекс Российской Федерации&quot; от 31.07.1998 N 145-ФЗ (ред. от 21.11.2022) {КонсультантПлюс}">
        <w:r>
          <w:rPr>
            <w:sz w:val="20"/>
            <w:color w:val="0000ff"/>
          </w:rPr>
          <w:t xml:space="preserve">кодекс</w:t>
        </w:r>
      </w:hyperlink>
      <w:r>
        <w:rPr>
          <w:sz w:val="20"/>
        </w:rPr>
        <w:t xml:space="preserve"> Российской Федерации (Собрание законодательства Российской Федерации, 1998, N 31, ст. 3823; 2022, N 29, ст. 5305).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&lt;9&gt; Собрание законодательства Российской Федерации, 2012, N 53, ст. 7598; 2022, N 29, ст. 5262.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7.17. Образовательная организация, реализующая ППССЗ, должна располагать материально-технической базой, обеспечивающей проведение всех видов лабораторных и практических занятий, дисциплинарной, междисциплинарной и модульной подготовки, учебной практики, предусмотренных учебным планом образовательной организации. Материально-техническая база должна соответствовать действующим санитарным и противопожарным нормам.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Перечень кабинетов, лабораторий, мастерских</w:t>
      </w:r>
    </w:p>
    <w:p>
      <w:pPr>
        <w:pStyle w:val="2"/>
        <w:jc w:val="center"/>
      </w:pPr>
      <w:r>
        <w:rPr>
          <w:sz w:val="20"/>
        </w:rPr>
        <w:t xml:space="preserve">и других помещений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Кабинеты: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гуманитарных и социально-экономических дисциплин;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математики;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инженерной графики;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информатики и информационных технологий;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экономики отрасли, менеджмента и правового обеспечения профессиональной деятельности;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экологических основ природопользования, безопасности жизнедеятельности и охраны труда;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расчета и проектирования сварных соединений;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технологии электрической сварки плавлением;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метрологии, стандартизации и сертификации.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Лаборатории: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технической механики;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электротехники и электроники;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материаловедения;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испытания материалов и контроля качества сварных соединений.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Мастерские: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слесарная;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сварочная.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Полигоны: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сварочный полигон.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Тренажеры, тренажерные комплексы: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компьютеризированный малоамперный дуговой тренажер сварщика МДТС-05.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Спортивный комплекс: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спортивный зал;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абзацы двадцать седьмой - двадцать восьмой утратили силу. - </w:t>
      </w:r>
      <w:hyperlink w:history="0" r:id="rId40" w:tooltip="Приказ Минпросвещения России от 13.07.2021 N 450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4.10.2021 N 65410) {КонсультантПлюс}">
        <w:r>
          <w:rPr>
            <w:sz w:val="20"/>
            <w:color w:val="0000ff"/>
          </w:rPr>
          <w:t xml:space="preserve">Приказ</w:t>
        </w:r>
      </w:hyperlink>
      <w:r>
        <w:rPr>
          <w:sz w:val="20"/>
        </w:rPr>
        <w:t xml:space="preserve"> Минпросвещения России от 13.07.2021 N 450.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Залы: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библиотека, читальный зал с выходом в сеть Интернет;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актовый зал.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Реализация ППССЗ должна обеспечивать: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выполнение обучающимися лабораторных и практических занятий, включая как обязательный компонент практические задания с использованием персональных компьютеров;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освоение обучающимися профессиональных модулей в условиях созданной соответствующей образовательной среды в образовательной организации или в организациях в зависимости от специфики вида деятельности.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использовании электронных изданий образовательная организация должна обеспечить каждого обучающегося рабочим местом в компьютерном классе в соответствии с объемом изучаемых дисциплин.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Образовательная организация должна быть обеспечена необходимым комплектом лицензионного программного обеспечения.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7.18. Реализация ППССЗ осуществляется образовательной организацией на государственном языке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Реализация ППССЗ образовательной организацией, расположенной на территории республики Российской Федерации, может осуществляться на государственном языке республики Российской Федерации в соответствии с законодательством республик Российской Федерации. Реализация ППССЗ образовательной организацией на государственном языке республики Российской Федерации не должна осуществляться в ущерб государственному языку Российской Федерации.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VIII. ОЦЕНКА КАЧЕСТВА ОСВОЕНИЯ ПРОГРАММЫ ПОДГОТОВКИ</w:t>
      </w:r>
    </w:p>
    <w:p>
      <w:pPr>
        <w:pStyle w:val="2"/>
        <w:jc w:val="center"/>
      </w:pPr>
      <w:r>
        <w:rPr>
          <w:sz w:val="20"/>
        </w:rPr>
        <w:t xml:space="preserve">СПЕЦИАЛИСТОВ СРЕДНЕГО ЗВЕНА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8.1. Оценка качества освоения ППССЗ должна включать текущий контроль успеваемости, промежуточную и государственную итоговую аттестации обучающихся.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8.2. Конкретные формы и процедуры текущего контроля успеваемости, промежуточной аттестации по каждой дисциплине и профессиональному модулю разрабатываются образовательной организацией самостоятельно и доводятся до сведения обучающихся в течение первых двух месяцев от начала обучения.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8.3. Для аттестации обучающихся на соответствие их персональных достижений поэтапным требованиям соответствующей ППССЗ (текущий контроль успеваемости и промежуточная аттестация) создаются фонды оценочных средств, позволяющие оценить умения, знания, практический опыт и освоенные компетенции.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Фонды оценочных средств для промежуточной аттестации по дисциплинам и междисциплинарным курсам в составе профессиональных модулей разрабатываются и утверждаются образовательной организацией самостоятельно, а для промежуточной аттестации по профессиональным модулям и для государственной итоговой аттестации - разрабатываются и утверждаются образовательной организацией после предварительного положительного заключения работодателей.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Для промежуточной аттестации обучающихся по дисциплинам (междисциплинарным курсам) кроме преподавателей конкретной дисциплины (междисциплинарного курса) в качестве внешних экспертов должны активно привлекаться преподаватели смежных дисциплин (курсов). Для максимального приближения программ промежуточной аттестации обучающихся по профессиональным модулям к условиям их будущей профессиональной деятельности образовательной организацией в качестве внештатных экспертов должны активно привлекаться работодатели.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8.4. Оценка качества подготовки обучающихся и выпускников осуществляется в двух основных направлениях: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оценка уровня освоения дисциплин;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оценка компетенций обучающихся.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Для юношей предусматривается оценка результатов освоения основ военной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8.5. 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план, если иное не установлено порядком проведения государственной итоговой аттестации по соответствующим образовательным программам &lt;10&gt;.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41" w:tooltip="Приказ Минпросвещения России от 01.09.2022 N 796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1.10.2022 N 70461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Минпросвещения России от 01.09.2022 N 796)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hyperlink w:history="0" r:id="rId42" w:tooltip="Приказ Минпросвещения России от 01.09.2022 N 796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1.10.2022 N 70461) {КонсультантПлюс}">
        <w:r>
          <w:rPr>
            <w:sz w:val="20"/>
            <w:color w:val="0000ff"/>
          </w:rPr>
          <w:t xml:space="preserve">&lt;10&gt;</w:t>
        </w:r>
      </w:hyperlink>
      <w:r>
        <w:rPr>
          <w:sz w:val="20"/>
        </w:rPr>
        <w:t xml:space="preserve"> </w:t>
      </w:r>
      <w:hyperlink w:history="0" r:id="rId43" w:tooltip="Федеральный закон от 29.12.2012 N 273-ФЗ (ред. от 05.12.2022) &quot;Об образовании в Российской Федерации&quot; {КонсультантПлюс}">
        <w:r>
          <w:rPr>
            <w:sz w:val="20"/>
            <w:color w:val="0000ff"/>
          </w:rPr>
          <w:t xml:space="preserve">Часть 6 статьи 59</w:t>
        </w:r>
      </w:hyperlink>
      <w:r>
        <w:rPr>
          <w:sz w:val="20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8.6. Государственная итоговая аттестация проводится в форме демонстрационного экзамена и защиты дипломного проекта (работы).</w:t>
      </w:r>
    </w:p>
    <w:p>
      <w:pPr>
        <w:pStyle w:val="0"/>
        <w:jc w:val="both"/>
      </w:pPr>
      <w:r>
        <w:rPr>
          <w:sz w:val="20"/>
        </w:rPr>
        <w:t xml:space="preserve">(п. 8.6 в ред. </w:t>
      </w:r>
      <w:hyperlink w:history="0" r:id="rId44" w:tooltip="Приказ Минпросвещения России от 01.09.2022 N 796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1.10.2022 N 70461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Минпросвещения России от 01.09.2022 N 796)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ФГОС СПО по специальности 22.02.06</w:t>
      </w:r>
    </w:p>
    <w:p>
      <w:pPr>
        <w:pStyle w:val="0"/>
        <w:jc w:val="right"/>
      </w:pPr>
      <w:r>
        <w:rPr>
          <w:sz w:val="20"/>
        </w:rPr>
        <w:t xml:space="preserve">Сварочное производство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525" w:name="P525"/>
    <w:bookmarkEnd w:id="525"/>
    <w:p>
      <w:pPr>
        <w:pStyle w:val="2"/>
        <w:jc w:val="center"/>
      </w:pPr>
      <w:r>
        <w:rPr>
          <w:sz w:val="20"/>
        </w:rPr>
        <w:t xml:space="preserve">ПЕРЕЧЕНЬ</w:t>
      </w:r>
    </w:p>
    <w:p>
      <w:pPr>
        <w:pStyle w:val="2"/>
        <w:jc w:val="center"/>
      </w:pPr>
      <w:r>
        <w:rPr>
          <w:sz w:val="20"/>
        </w:rPr>
        <w:t xml:space="preserve">ПРОФЕССИЙ РАБОЧИХ, ДОЛЖНОСТЕЙ СЛУЖАЩИХ, РЕКОМЕНДУЕМЫХ</w:t>
      </w:r>
    </w:p>
    <w:p>
      <w:pPr>
        <w:pStyle w:val="2"/>
        <w:jc w:val="center"/>
      </w:pPr>
      <w:r>
        <w:rPr>
          <w:sz w:val="20"/>
        </w:rPr>
        <w:t xml:space="preserve">К ОСВОЕНИЮ В РАМКАХ ППССЗ</w:t>
      </w:r>
    </w:p>
    <w:p>
      <w:pPr>
        <w:pStyle w:val="0"/>
        <w:ind w:firstLine="54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532"/>
        <w:gridCol w:w="6107"/>
      </w:tblGrid>
      <w:tr>
        <w:tc>
          <w:tcPr>
            <w:tcW w:w="353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Код по Общероссийскому </w:t>
            </w:r>
            <w:hyperlink w:history="0" r:id="rId45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{КонсультантПлюс}">
              <w:r>
                <w:rPr>
                  <w:sz w:val="20"/>
                  <w:color w:val="0000ff"/>
                </w:rPr>
                <w:t xml:space="preserve">классификатору</w:t>
              </w:r>
            </w:hyperlink>
            <w:r>
              <w:rPr>
                <w:sz w:val="20"/>
              </w:rPr>
              <w:t xml:space="preserve"> профессий рабочих, должностей служащих и тарифных разрядов (ОК 016-94)</w:t>
            </w:r>
          </w:p>
        </w:tc>
        <w:tc>
          <w:tcPr>
            <w:tcW w:w="610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профессий рабочих, должностей служащих</w:t>
            </w:r>
          </w:p>
        </w:tc>
      </w:tr>
      <w:tr>
        <w:tc>
          <w:tcPr>
            <w:tcW w:w="353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610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</w:tr>
      <w:tr>
        <w:tc>
          <w:tcPr>
            <w:tcW w:w="3532" w:type="dxa"/>
          </w:tcPr>
          <w:p>
            <w:pPr>
              <w:pStyle w:val="0"/>
              <w:jc w:val="center"/>
            </w:pPr>
            <w:hyperlink w:history="0" r:id="rId46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{КонсультантПлюс}">
              <w:r>
                <w:rPr>
                  <w:sz w:val="20"/>
                  <w:color w:val="0000ff"/>
                </w:rPr>
                <w:t xml:space="preserve">11618</w:t>
              </w:r>
            </w:hyperlink>
          </w:p>
        </w:tc>
        <w:tc>
          <w:tcPr>
            <w:tcW w:w="6107" w:type="dxa"/>
          </w:tcPr>
          <w:p>
            <w:pPr>
              <w:pStyle w:val="0"/>
            </w:pPr>
            <w:r>
              <w:rPr>
                <w:sz w:val="20"/>
              </w:rPr>
              <w:t xml:space="preserve">Газорезчик</w:t>
            </w:r>
          </w:p>
        </w:tc>
      </w:tr>
      <w:tr>
        <w:tc>
          <w:tcPr>
            <w:tcW w:w="3532" w:type="dxa"/>
          </w:tcPr>
          <w:p>
            <w:pPr>
              <w:pStyle w:val="0"/>
              <w:jc w:val="center"/>
            </w:pPr>
            <w:hyperlink w:history="0" r:id="rId47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{КонсультантПлюс}">
              <w:r>
                <w:rPr>
                  <w:sz w:val="20"/>
                  <w:color w:val="0000ff"/>
                </w:rPr>
                <w:t xml:space="preserve">11620</w:t>
              </w:r>
            </w:hyperlink>
          </w:p>
        </w:tc>
        <w:tc>
          <w:tcPr>
            <w:tcW w:w="6107" w:type="dxa"/>
          </w:tcPr>
          <w:p>
            <w:pPr>
              <w:pStyle w:val="0"/>
            </w:pPr>
            <w:r>
              <w:rPr>
                <w:sz w:val="20"/>
              </w:rPr>
              <w:t xml:space="preserve">Газосварщик</w:t>
            </w:r>
          </w:p>
        </w:tc>
      </w:tr>
      <w:tr>
        <w:tc>
          <w:tcPr>
            <w:tcW w:w="3532" w:type="dxa"/>
          </w:tcPr>
          <w:p>
            <w:pPr>
              <w:pStyle w:val="0"/>
              <w:jc w:val="center"/>
            </w:pPr>
            <w:hyperlink w:history="0" r:id="rId48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{КонсультантПлюс}">
              <w:r>
                <w:rPr>
                  <w:sz w:val="20"/>
                  <w:color w:val="0000ff"/>
                </w:rPr>
                <w:t xml:space="preserve">14985</w:t>
              </w:r>
            </w:hyperlink>
          </w:p>
        </w:tc>
        <w:tc>
          <w:tcPr>
            <w:tcW w:w="6107" w:type="dxa"/>
          </w:tcPr>
          <w:p>
            <w:pPr>
              <w:pStyle w:val="0"/>
            </w:pPr>
            <w:r>
              <w:rPr>
                <w:sz w:val="20"/>
              </w:rPr>
              <w:t xml:space="preserve">Наладчик сварочного и газоплазморезательного оборудования</w:t>
            </w:r>
          </w:p>
        </w:tc>
      </w:tr>
      <w:tr>
        <w:tc>
          <w:tcPr>
            <w:tcW w:w="3532" w:type="dxa"/>
          </w:tcPr>
          <w:p>
            <w:pPr>
              <w:pStyle w:val="0"/>
              <w:jc w:val="center"/>
            </w:pPr>
            <w:hyperlink w:history="0" r:id="rId49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{КонсультантПлюс}">
              <w:r>
                <w:rPr>
                  <w:sz w:val="20"/>
                  <w:color w:val="0000ff"/>
                </w:rPr>
                <w:t xml:space="preserve">19756</w:t>
              </w:r>
            </w:hyperlink>
          </w:p>
        </w:tc>
        <w:tc>
          <w:tcPr>
            <w:tcW w:w="6107" w:type="dxa"/>
          </w:tcPr>
          <w:p>
            <w:pPr>
              <w:pStyle w:val="0"/>
            </w:pPr>
            <w:r>
              <w:rPr>
                <w:sz w:val="20"/>
              </w:rPr>
              <w:t xml:space="preserve">Электрогазосварщик</w:t>
            </w:r>
          </w:p>
        </w:tc>
      </w:tr>
      <w:tr>
        <w:tc>
          <w:tcPr>
            <w:tcW w:w="3532" w:type="dxa"/>
          </w:tcPr>
          <w:p>
            <w:pPr>
              <w:pStyle w:val="0"/>
              <w:jc w:val="center"/>
            </w:pPr>
            <w:hyperlink w:history="0" r:id="rId50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{КонсультантПлюс}">
              <w:r>
                <w:rPr>
                  <w:sz w:val="20"/>
                  <w:color w:val="0000ff"/>
                </w:rPr>
                <w:t xml:space="preserve">19905</w:t>
              </w:r>
            </w:hyperlink>
          </w:p>
        </w:tc>
        <w:tc>
          <w:tcPr>
            <w:tcW w:w="6107" w:type="dxa"/>
          </w:tcPr>
          <w:p>
            <w:pPr>
              <w:pStyle w:val="0"/>
            </w:pPr>
            <w:r>
              <w:rPr>
                <w:sz w:val="20"/>
              </w:rPr>
              <w:t xml:space="preserve">Электросварщик на автоматических и полуавтоматических машинах</w:t>
            </w:r>
          </w:p>
        </w:tc>
      </w:tr>
      <w:tr>
        <w:tc>
          <w:tcPr>
            <w:tcW w:w="3532" w:type="dxa"/>
          </w:tcPr>
          <w:p>
            <w:pPr>
              <w:pStyle w:val="0"/>
              <w:jc w:val="center"/>
            </w:pPr>
            <w:hyperlink w:history="0" r:id="rId51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{КонсультантПлюс}">
              <w:r>
                <w:rPr>
                  <w:sz w:val="20"/>
                  <w:color w:val="0000ff"/>
                </w:rPr>
                <w:t xml:space="preserve">19906</w:t>
              </w:r>
            </w:hyperlink>
          </w:p>
        </w:tc>
        <w:tc>
          <w:tcPr>
            <w:tcW w:w="6107" w:type="dxa"/>
          </w:tcPr>
          <w:p>
            <w:pPr>
              <w:pStyle w:val="0"/>
            </w:pPr>
            <w:r>
              <w:rPr>
                <w:sz w:val="20"/>
              </w:rPr>
              <w:t xml:space="preserve">Электросварщик ручной сварки</w:t>
            </w:r>
          </w:p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России от 21.04.2014 N 360</w:t>
            <w:br/>
            <w:t>(ред. от 01.09.2022)</w:t>
            <w:br/>
            <w:t>"Об утверждении федерального государственного образов...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16.12.2022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consultantplus://offline/ref=D7ACA7094FB365759916DC80F82804C44137C7DB9282BBA16B71666C566C69D24BE6BFAB0442E1A65D0D33D1D1F643563C902C0F65CCE9956705L" TargetMode = "External"/>
	<Relationship Id="rId8" Type="http://schemas.openxmlformats.org/officeDocument/2006/relationships/hyperlink" Target="consultantplus://offline/ref=D7ACA7094FB365759916DC80F82804C4413AC9D89481BBA16B71666C566C69D24BE6BFAB0440ECAF560D33D1D1F643563C902C0F65CCE9956705L" TargetMode = "External"/>
	<Relationship Id="rId9" Type="http://schemas.openxmlformats.org/officeDocument/2006/relationships/hyperlink" Target="consultantplus://offline/ref=D7ACA7094FB365759916DC80F82804C44631C9DE978ABBA16B71666C566C69D24BE6BFAB0442E7AD520D33D1D1F643563C902C0F65CCE9956705L" TargetMode = "External"/>
	<Relationship Id="rId10" Type="http://schemas.openxmlformats.org/officeDocument/2006/relationships/hyperlink" Target="consultantplus://offline/ref=D7ACA7094FB365759916DC80F82804C4403BC6DE948BBBA16B71666C566C69D24BE6BFAB0440E5AA560D33D1D1F643563C902C0F65CCE9956705L" TargetMode = "External"/>
	<Relationship Id="rId11" Type="http://schemas.openxmlformats.org/officeDocument/2006/relationships/hyperlink" Target="consultantplus://offline/ref=D7ACA7094FB365759916DC80F82804C44B34C0D99488E6AB63286A6E516336D74CF7BFAB025EE4AC4A0467826907L" TargetMode = "External"/>
	<Relationship Id="rId12" Type="http://schemas.openxmlformats.org/officeDocument/2006/relationships/hyperlink" Target="consultantplus://offline/ref=D7ACA7094FB365759916DC80F82804C44137C7DB9282BBA16B71666C566C69D24BE6BFAB0442E1A65D0D33D1D1F643563C902C0F65CCE9956705L" TargetMode = "External"/>
	<Relationship Id="rId13" Type="http://schemas.openxmlformats.org/officeDocument/2006/relationships/hyperlink" Target="consultantplus://offline/ref=D7ACA7094FB365759916DC80F82804C4413AC9D89481BBA16B71666C566C69D24BE6BFAB0440ECAF560D33D1D1F643563C902C0F65CCE9956705L" TargetMode = "External"/>
	<Relationship Id="rId14" Type="http://schemas.openxmlformats.org/officeDocument/2006/relationships/hyperlink" Target="consultantplus://offline/ref=D7ACA7094FB365759916DC80F82804C44631C9DE978ABBA16B71666C566C69D24BE6BFAB0442E7AD520D33D1D1F643563C902C0F65CCE9956705L" TargetMode = "External"/>
	<Relationship Id="rId15" Type="http://schemas.openxmlformats.org/officeDocument/2006/relationships/hyperlink" Target="consultantplus://offline/ref=D7ACA7094FB365759916DC80F82804C4413AC9D89481BBA16B71666C566C69D24BE6BFAB0440ECAF570D33D1D1F643563C902C0F65CCE9956705L" TargetMode = "External"/>
	<Relationship Id="rId16" Type="http://schemas.openxmlformats.org/officeDocument/2006/relationships/hyperlink" Target="consultantplus://offline/ref=D7ACA7094FB365759916DC80F82804C4413AC9D89481BBA16B71666C566C69D24BE6BFAB0440ECAF510D33D1D1F643563C902C0F65CCE9956705L" TargetMode = "External"/>
	<Relationship Id="rId17" Type="http://schemas.openxmlformats.org/officeDocument/2006/relationships/hyperlink" Target="consultantplus://offline/ref=D7ACA7094FB365759916DC80F82804C44137C7DB9282BBA16B71666C566C69D24BE6BFAB0442E1A7540D33D1D1F643563C902C0F65CCE9956705L" TargetMode = "External"/>
	<Relationship Id="rId18" Type="http://schemas.openxmlformats.org/officeDocument/2006/relationships/hyperlink" Target="consultantplus://offline/ref=D7ACA7094FB365759916DC80F82804C44631C9DE978ABBA16B71666C566C69D24BE6BFAB0442E7AD530D33D1D1F643563C902C0F65CCE9956705L" TargetMode = "External"/>
	<Relationship Id="rId19" Type="http://schemas.openxmlformats.org/officeDocument/2006/relationships/hyperlink" Target="consultantplus://offline/ref=D7ACA7094FB365759916DC80F82804C44632C0D19683BBA16B71666C566C69D24BE6BFAB0440E5AD540D33D1D1F643563C902C0F65CCE9956705L" TargetMode = "External"/>
	<Relationship Id="rId20" Type="http://schemas.openxmlformats.org/officeDocument/2006/relationships/hyperlink" Target="consultantplus://offline/ref=D7ACA7094FB365759916DC80F82804C44631C9DE978ABBA16B71666C566C69D24BE6BFAB0442E7AD5D0D33D1D1F643563C902C0F65CCE9956705L" TargetMode = "External"/>
	<Relationship Id="rId21" Type="http://schemas.openxmlformats.org/officeDocument/2006/relationships/hyperlink" Target="consultantplus://offline/ref=D7ACA7094FB365759916DC80F82804C44631C9DE978ABBA16B71666C566C69D24BE6BFAB0442E7AA560D33D1D1F643563C902C0F65CCE9956705L" TargetMode = "External"/>
	<Relationship Id="rId22" Type="http://schemas.openxmlformats.org/officeDocument/2006/relationships/hyperlink" Target="consultantplus://offline/ref=D7ACA7094FB365759916DC80F82804C44631C9DE978ABBA16B71666C566C69D24BE6BFAB0442E7AB570D33D1D1F643563C902C0F65CCE9956705L" TargetMode = "External"/>
	<Relationship Id="rId23" Type="http://schemas.openxmlformats.org/officeDocument/2006/relationships/hyperlink" Target="consultantplus://offline/ref=D7ACA7094FB365759916DC80F82804C44631C9DE978ABBA16B71666C566C69D24BE6BFAB0442E7A8500D33D1D1F643563C902C0F65CCE9956705L" TargetMode = "External"/>
	<Relationship Id="rId24" Type="http://schemas.openxmlformats.org/officeDocument/2006/relationships/hyperlink" Target="consultantplus://offline/ref=D7ACA7094FB365759916DC80F82804C44631C9DE978ABBA16B71666C566C69D24BE6BFAB0442E7A8520D33D1D1F643563C902C0F65CCE9956705L" TargetMode = "External"/>
	<Relationship Id="rId25" Type="http://schemas.openxmlformats.org/officeDocument/2006/relationships/hyperlink" Target="consultantplus://offline/ref=D7ACA7094FB365759916DC80F82804C44631C9DE978ABBA16B71666C566C69D24BE6BFAB0442E7A8530D33D1D1F643563C902C0F65CCE9956705L" TargetMode = "External"/>
	<Relationship Id="rId26" Type="http://schemas.openxmlformats.org/officeDocument/2006/relationships/hyperlink" Target="consultantplus://offline/ref=D7ACA7094FB365759916DC80F82804C44631C9DE978ABBA16B71666C566C69D24BE6BFAB0442E7A85C0D33D1D1F643563C902C0F65CCE9956705L" TargetMode = "External"/>
	<Relationship Id="rId27" Type="http://schemas.openxmlformats.org/officeDocument/2006/relationships/hyperlink" Target="consultantplus://offline/ref=D7ACA7094FB365759916DC80F82804C44631C9DE978ABBA16B71666C566C69D24BE6BFAB0442E7A85D0D33D1D1F643563C902C0F65CCE9956705L" TargetMode = "External"/>
	<Relationship Id="rId28" Type="http://schemas.openxmlformats.org/officeDocument/2006/relationships/hyperlink" Target="consultantplus://offline/ref=D7ACA7094FB365759916DC80F82804C44631C9DE978ABBA16B71666C566C69D24BE6BFAB0442E7A9540D33D1D1F643563C902C0F65CCE9956705L" TargetMode = "External"/>
	<Relationship Id="rId29" Type="http://schemas.openxmlformats.org/officeDocument/2006/relationships/hyperlink" Target="consultantplus://offline/ref=D7ACA7094FB365759916DC80F82804C44631C9DE978ABBA16B71666C566C69D24BE6BFAB0442E7A9550D33D1D1F643563C902C0F65CCE9956705L" TargetMode = "External"/>
	<Relationship Id="rId30" Type="http://schemas.openxmlformats.org/officeDocument/2006/relationships/hyperlink" Target="consultantplus://offline/ref=D7ACA7094FB365759916DC80F82804C44630C2DC9685BBA16B71666C566C69D259E6E7A70546FBAF56186580976A01L" TargetMode = "External"/>
	<Relationship Id="rId31" Type="http://schemas.openxmlformats.org/officeDocument/2006/relationships/hyperlink" Target="consultantplus://offline/ref=D7ACA7094FB365759916DC80F82804C44631C9DE978ABBA16B71666C566C69D24BE6BFAB0442E7AA550D33D1D1F643563C902C0F65CCE9956705L" TargetMode = "External"/>
	<Relationship Id="rId32" Type="http://schemas.openxmlformats.org/officeDocument/2006/relationships/hyperlink" Target="consultantplus://offline/ref=D7ACA7094FB365759916DC80F82804C44631C9DE978ABBA16B71666C566C69D24BE6BFAB0442E7AA550D33D1D1F643563C902C0F65CCE9956705L" TargetMode = "External"/>
	<Relationship Id="rId33" Type="http://schemas.openxmlformats.org/officeDocument/2006/relationships/hyperlink" Target="consultantplus://offline/ref=D7ACA7094FB365759916DC80F82804C44137C7DB9282BBA16B71666C566C69D24BE6BFAB0442E1A7550D33D1D1F643563C902C0F65CCE9956705L" TargetMode = "External"/>
	<Relationship Id="rId34" Type="http://schemas.openxmlformats.org/officeDocument/2006/relationships/hyperlink" Target="consultantplus://offline/ref=D7ACA7094FB365759916DC80F82804C44631C9DE978ABBA16B71666C566C69D24BE6BFAB0442E7AA550D33D1D1F643563C902C0F65CCE9956705L" TargetMode = "External"/>
	<Relationship Id="rId35" Type="http://schemas.openxmlformats.org/officeDocument/2006/relationships/hyperlink" Target="consultantplus://offline/ref=D7ACA7094FB365759916DC80F82804C44631C9DE978ABBA16B71666C566C69D24BE6BFAB0442E7AA550D33D1D1F643563C902C0F65CCE9956705L" TargetMode = "External"/>
	<Relationship Id="rId36" Type="http://schemas.openxmlformats.org/officeDocument/2006/relationships/hyperlink" Target="consultantplus://offline/ref=D7ACA7094FB365759916DC80F82804C44631C3DC9681BBA16B71666C566C69D24BE6BFA90D40EEFA0542328D94A5505638902F0D796C0CL" TargetMode = "External"/>
	<Relationship Id="rId37" Type="http://schemas.openxmlformats.org/officeDocument/2006/relationships/hyperlink" Target="consultantplus://offline/ref=D7ACA7094FB365759916DC80F82804C44630C2DC9685BBA16B71666C566C69D259E6E7A70546FBAF56186580976A01L" TargetMode = "External"/>
	<Relationship Id="rId38" Type="http://schemas.openxmlformats.org/officeDocument/2006/relationships/hyperlink" Target="consultantplus://offline/ref=D7ACA7094FB365759916DC80F82804C44631C9DE978ABBA16B71666C566C69D24BE6BFAB0442E6A7540D33D1D1F643563C902C0F65CCE9956705L" TargetMode = "External"/>
	<Relationship Id="rId39" Type="http://schemas.openxmlformats.org/officeDocument/2006/relationships/hyperlink" Target="consultantplus://offline/ref=D7ACA7094FB365759916DC80F82804C44630C0D09D8BBBA16B71666C566C69D259E6E7A70546FBAF56186580976A01L" TargetMode = "External"/>
	<Relationship Id="rId40" Type="http://schemas.openxmlformats.org/officeDocument/2006/relationships/hyperlink" Target="consultantplus://offline/ref=D7ACA7094FB365759916DC80F82804C4413AC9D89481BBA16B71666C566C69D24BE6BFAB0440ECAF520D33D1D1F643563C902C0F65CCE9956705L" TargetMode = "External"/>
	<Relationship Id="rId41" Type="http://schemas.openxmlformats.org/officeDocument/2006/relationships/hyperlink" Target="consultantplus://offline/ref=D7ACA7094FB365759916DC80F82804C44631C9DE978ABBA16B71666C566C69D24BE6BFAB0442E6A7530D33D1D1F643563C902C0F65CCE9956705L" TargetMode = "External"/>
	<Relationship Id="rId42" Type="http://schemas.openxmlformats.org/officeDocument/2006/relationships/hyperlink" Target="consultantplus://offline/ref=D7ACA7094FB365759916DC80F82804C44631C9DE978ABBA16B71666C566C69D24BE6BFAB0442E6A7530D33D1D1F643563C902C0F65CCE9956705L" TargetMode = "External"/>
	<Relationship Id="rId43" Type="http://schemas.openxmlformats.org/officeDocument/2006/relationships/hyperlink" Target="consultantplus://offline/ref=D7ACA7094FB365759916DC80F82804C44630C2DC9685BBA16B71666C566C69D24BE6BFAB0440EDAE570D33D1D1F643563C902C0F65CCE9956705L" TargetMode = "External"/>
	<Relationship Id="rId44" Type="http://schemas.openxmlformats.org/officeDocument/2006/relationships/hyperlink" Target="consultantplus://offline/ref=D7ACA7094FB365759916DC80F82804C44631C9DE978ABBA16B71666C566C69D24BE6BFAB0442E6A75C0D33D1D1F643563C902C0F65CCE9956705L" TargetMode = "External"/>
	<Relationship Id="rId45" Type="http://schemas.openxmlformats.org/officeDocument/2006/relationships/hyperlink" Target="consultantplus://offline/ref=D7ACA7094FB365759916DC80F82804C44330C4D19C85BBA16B71666C566C69D24BE6BFAB0440E5AF540D33D1D1F643563C902C0F65CCE9956705L" TargetMode = "External"/>
	<Relationship Id="rId46" Type="http://schemas.openxmlformats.org/officeDocument/2006/relationships/hyperlink" Target="consultantplus://offline/ref=D7ACA7094FB365759916DC80F82804C44330C4D19C85BBA16B71666C566C69D24BE6BFAB0440ECAA550D33D1D1F643563C902C0F65CCE9956705L" TargetMode = "External"/>
	<Relationship Id="rId47" Type="http://schemas.openxmlformats.org/officeDocument/2006/relationships/hyperlink" Target="consultantplus://offline/ref=D7ACA7094FB365759916DC80F82804C44330C4D19C85BBA16B71666C566C69D24BE6BFAB0440ECAA560D33D1D1F643563C902C0F65CCE9956705L" TargetMode = "External"/>
	<Relationship Id="rId48" Type="http://schemas.openxmlformats.org/officeDocument/2006/relationships/hyperlink" Target="consultantplus://offline/ref=D7ACA7094FB365759916DC80F82804C44330C4D19C85BBA16B71666C566C69D24BE6BFAB0442E3A85C0D33D1D1F643563C902C0F65CCE9956705L" TargetMode = "External"/>
	<Relationship Id="rId49" Type="http://schemas.openxmlformats.org/officeDocument/2006/relationships/hyperlink" Target="consultantplus://offline/ref=D7ACA7094FB365759916DC80F82804C44330C4D19C85BBA16B71666C566C69D24BE6BFAB0445E4AF530D33D1D1F643563C902C0F65CCE9956705L" TargetMode = "External"/>
	<Relationship Id="rId50" Type="http://schemas.openxmlformats.org/officeDocument/2006/relationships/hyperlink" Target="consultantplus://offline/ref=D7ACA7094FB365759916DC80F82804C44330C4D19C85BBA16B71666C566C69D24BE6BFAB0445E4A7500D33D1D1F643563C902C0F65CCE9956705L" TargetMode = "External"/>
	<Relationship Id="rId51" Type="http://schemas.openxmlformats.org/officeDocument/2006/relationships/hyperlink" Target="consultantplus://offline/ref=D7ACA7094FB365759916DC80F82804C44330C4D19C85BBA16B71666C566C69D24BE6BFAB0445E4A7510D33D1D1F643563C902C0F65CCE9956705L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4022.00.55</Application>
  <Company>КонсультантПлюс Версия 4022.00.55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21.04.2014 N 360
(ред. от 01.09.2022)
"Об утверждении федерального государственного образовательного стандарта среднего профессионального образования по специальности 22.02.06 Сварочное производство"
(Зарегистрировано в Минюсте России 27.06.2014 N 32877)</dc:title>
  <dcterms:created xsi:type="dcterms:W3CDTF">2022-12-16T11:52:58Z</dcterms:created>
</cp:coreProperties>
</file>